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84AF7A" w14:textId="77777777" w:rsidR="00E05D9F" w:rsidRDefault="00E05D9F">
      <w:pPr>
        <w:spacing w:line="17" w:lineRule="exact"/>
        <w:rPr>
          <w:rFonts w:ascii="Times New Roman" w:eastAsia="Times New Roman" w:hAnsi="Times New Roman"/>
          <w:sz w:val="24"/>
        </w:rPr>
      </w:pPr>
      <w:bookmarkStart w:id="0" w:name="page1"/>
      <w:bookmarkEnd w:id="0"/>
    </w:p>
    <w:p w14:paraId="3DF6A185" w14:textId="77777777" w:rsidR="008A2F51" w:rsidRDefault="008A2F51">
      <w:pPr>
        <w:spacing w:line="238" w:lineRule="auto"/>
        <w:ind w:right="32"/>
        <w:jc w:val="center"/>
        <w:rPr>
          <w:b/>
          <w:sz w:val="24"/>
        </w:rPr>
      </w:pPr>
    </w:p>
    <w:p w14:paraId="34D2F414" w14:textId="77777777" w:rsidR="008A2F51" w:rsidRDefault="008A2F51">
      <w:pPr>
        <w:spacing w:line="238" w:lineRule="auto"/>
        <w:ind w:right="32"/>
        <w:jc w:val="center"/>
        <w:rPr>
          <w:b/>
          <w:sz w:val="24"/>
        </w:rPr>
      </w:pPr>
    </w:p>
    <w:p w14:paraId="754CC424" w14:textId="560910B6" w:rsidR="00E05D9F" w:rsidRDefault="00E05D9F">
      <w:pPr>
        <w:spacing w:line="238" w:lineRule="auto"/>
        <w:ind w:right="32"/>
        <w:jc w:val="center"/>
        <w:rPr>
          <w:b/>
          <w:sz w:val="24"/>
        </w:rPr>
      </w:pPr>
      <w:r>
        <w:rPr>
          <w:b/>
          <w:sz w:val="24"/>
        </w:rPr>
        <w:t>Mechanizm monitorowania i wycofania w przypadku finansowania infrastruktury badawczej</w:t>
      </w:r>
      <w:r>
        <w:rPr>
          <w:b/>
          <w:sz w:val="33"/>
          <w:vertAlign w:val="superscript"/>
        </w:rPr>
        <w:t>1</w:t>
      </w:r>
      <w:r>
        <w:rPr>
          <w:b/>
          <w:sz w:val="24"/>
        </w:rPr>
        <w:t xml:space="preserve"> ze środków publicznych</w:t>
      </w:r>
    </w:p>
    <w:p w14:paraId="1D0D9DB4" w14:textId="77777777" w:rsidR="00E05D9F" w:rsidRDefault="00E05D9F">
      <w:pPr>
        <w:spacing w:line="192" w:lineRule="exact"/>
        <w:rPr>
          <w:rFonts w:ascii="Times New Roman" w:eastAsia="Times New Roman" w:hAnsi="Times New Roman"/>
          <w:sz w:val="24"/>
        </w:rPr>
      </w:pPr>
    </w:p>
    <w:p w14:paraId="2E67C959" w14:textId="77777777" w:rsidR="00E05D9F" w:rsidRPr="00E01E99" w:rsidRDefault="00E05D9F">
      <w:pPr>
        <w:spacing w:line="260" w:lineRule="auto"/>
        <w:ind w:left="8"/>
        <w:jc w:val="both"/>
        <w:rPr>
          <w:sz w:val="23"/>
          <w:szCs w:val="23"/>
        </w:rPr>
      </w:pPr>
      <w:r w:rsidRPr="00E01E99">
        <w:rPr>
          <w:sz w:val="23"/>
          <w:szCs w:val="23"/>
        </w:rPr>
        <w:t>Niniejszy materiał jest zbiorem rekomendacji mających zastosowanie do projektów obejmujących swym zakresem wytworzenie lub zakup infrastruktury badawczej, dofinansowanych, począwszy od perspektywy finansowej 2014-2020; w ramach regionalnych programów operacyjnych/programów regionalnych oraz – w określonych przypadkach – w ramach regionalnych programów operacyjnych 2007-2013</w:t>
      </w:r>
      <w:r w:rsidRPr="00E01E99">
        <w:rPr>
          <w:sz w:val="23"/>
          <w:szCs w:val="23"/>
          <w:vertAlign w:val="superscript"/>
        </w:rPr>
        <w:t>2</w:t>
      </w:r>
      <w:r w:rsidRPr="00E01E99">
        <w:rPr>
          <w:sz w:val="23"/>
          <w:szCs w:val="23"/>
        </w:rPr>
        <w:t>. Może być on również pomocniczo wykorzystywany w ramach krajowych programów operacyjnych/programów krajowych. W materiale ujęto założenia dla funkcjonowania mechanizmu monitorowania i wycofania, kluczowe z punktu widzenia zasad pomocy publicznej.</w:t>
      </w:r>
    </w:p>
    <w:p w14:paraId="5EA435B2" w14:textId="77777777" w:rsidR="00E05D9F" w:rsidRDefault="00E05D9F">
      <w:pPr>
        <w:spacing w:line="200" w:lineRule="exact"/>
        <w:rPr>
          <w:rFonts w:ascii="Times New Roman" w:eastAsia="Times New Roman" w:hAnsi="Times New Roman"/>
          <w:sz w:val="24"/>
        </w:rPr>
      </w:pPr>
    </w:p>
    <w:p w14:paraId="7346D6E0" w14:textId="77777777" w:rsidR="00E05D9F" w:rsidRDefault="00E05D9F">
      <w:pPr>
        <w:numPr>
          <w:ilvl w:val="0"/>
          <w:numId w:val="1"/>
        </w:numPr>
        <w:tabs>
          <w:tab w:val="left" w:pos="708"/>
        </w:tabs>
        <w:spacing w:line="0" w:lineRule="atLeast"/>
        <w:ind w:left="708" w:hanging="708"/>
        <w:rPr>
          <w:b/>
          <w:sz w:val="23"/>
        </w:rPr>
      </w:pPr>
      <w:r>
        <w:rPr>
          <w:b/>
          <w:sz w:val="23"/>
        </w:rPr>
        <w:t>Informacje ogólne</w:t>
      </w:r>
    </w:p>
    <w:p w14:paraId="7FAE4F46" w14:textId="77777777" w:rsidR="00E05D9F" w:rsidRDefault="00E05D9F">
      <w:pPr>
        <w:spacing w:line="135" w:lineRule="exact"/>
        <w:rPr>
          <w:rFonts w:ascii="Times New Roman" w:eastAsia="Times New Roman" w:hAnsi="Times New Roman"/>
          <w:sz w:val="24"/>
        </w:rPr>
      </w:pPr>
    </w:p>
    <w:p w14:paraId="5D243307" w14:textId="77777777" w:rsidR="00E05D9F" w:rsidRDefault="00E05D9F">
      <w:pPr>
        <w:spacing w:line="254" w:lineRule="auto"/>
        <w:ind w:left="8"/>
        <w:jc w:val="both"/>
        <w:rPr>
          <w:sz w:val="23"/>
        </w:rPr>
      </w:pPr>
      <w:r>
        <w:rPr>
          <w:sz w:val="23"/>
        </w:rPr>
        <w:t>Obowiązek wprowadzenia przez Państwa Członkowskie mechanizmu monitorowania i wycofania w odniesieniu do działalności prowadzonej na infrastrukturze badawczej otrzymującej finansowanie publiczne został zawarty w art. 26 Rozporządzenia Komisji (UE) Nr 651/2014 z dnia 17 czerwca 2014 r. uznającego niektóre rodzaje pomocy za zgodne z rynkiem wewnętrznym w</w:t>
      </w:r>
      <w:r w:rsidR="008E608C">
        <w:rPr>
          <w:sz w:val="23"/>
        </w:rPr>
        <w:t> </w:t>
      </w:r>
      <w:r>
        <w:rPr>
          <w:sz w:val="23"/>
        </w:rPr>
        <w:t>zastosowaniu art. 107 i 108 Traktatu (dalej: rozporządzenie 651/2014):</w:t>
      </w:r>
    </w:p>
    <w:p w14:paraId="50C68476" w14:textId="77777777" w:rsidR="00E05D9F" w:rsidRDefault="00E05D9F">
      <w:pPr>
        <w:spacing w:line="271" w:lineRule="exact"/>
        <w:rPr>
          <w:rFonts w:ascii="Times New Roman" w:eastAsia="Times New Roman" w:hAnsi="Times New Roman"/>
          <w:sz w:val="24"/>
        </w:rPr>
      </w:pPr>
    </w:p>
    <w:p w14:paraId="6AD47270" w14:textId="77777777" w:rsidR="00E05D9F" w:rsidRDefault="00E05D9F">
      <w:pPr>
        <w:spacing w:line="251" w:lineRule="auto"/>
        <w:ind w:left="8"/>
        <w:jc w:val="both"/>
        <w:rPr>
          <w:i/>
          <w:sz w:val="23"/>
        </w:rPr>
      </w:pPr>
      <w:r>
        <w:rPr>
          <w:sz w:val="23"/>
        </w:rPr>
        <w:t xml:space="preserve">Art. 26 ust. 7. </w:t>
      </w:r>
      <w:r>
        <w:rPr>
          <w:i/>
          <w:sz w:val="23"/>
        </w:rPr>
        <w:t>Jeżeli infrastruktura naukowo-badawcza otrzymuje finansowanie publiczne zarówno na działalność gospodarczą, jak i niegospodarczą, państwo członkowskie wprowadza mechanizm monitorowania i wycofania, aby zapewnić, że w wyniku zwiększenia udziału działalności gospodarczej w stosunku do sytuacji oczekiwanej w momencie przyznania pomocy nie przekroczono obowiązującej maksymalnej intensywności pomocy.</w:t>
      </w:r>
    </w:p>
    <w:p w14:paraId="73372F24" w14:textId="77777777" w:rsidR="00E05D9F" w:rsidRDefault="00E05D9F">
      <w:pPr>
        <w:spacing w:line="274" w:lineRule="exact"/>
        <w:rPr>
          <w:rFonts w:ascii="Times New Roman" w:eastAsia="Times New Roman" w:hAnsi="Times New Roman"/>
          <w:sz w:val="24"/>
        </w:rPr>
      </w:pPr>
    </w:p>
    <w:p w14:paraId="27186D0B" w14:textId="77777777" w:rsidR="00E05D9F" w:rsidRDefault="00E05D9F" w:rsidP="00C36DA5">
      <w:pPr>
        <w:spacing w:line="254" w:lineRule="auto"/>
        <w:ind w:left="8"/>
        <w:jc w:val="both"/>
        <w:rPr>
          <w:sz w:val="23"/>
        </w:rPr>
      </w:pPr>
      <w:r>
        <w:rPr>
          <w:sz w:val="23"/>
        </w:rPr>
        <w:t>Opisana w powyższym art. regulacja dotyczy sytuacji, w której ta sama infrastruktura ma być wykorzystywana</w:t>
      </w:r>
      <w:r w:rsidR="00602F33">
        <w:rPr>
          <w:sz w:val="23"/>
        </w:rPr>
        <w:t xml:space="preserve">  </w:t>
      </w:r>
      <w:r>
        <w:rPr>
          <w:sz w:val="23"/>
        </w:rPr>
        <w:t xml:space="preserve"> </w:t>
      </w:r>
      <w:r w:rsidR="00602F33">
        <w:rPr>
          <w:sz w:val="23"/>
        </w:rPr>
        <w:t xml:space="preserve"> </w:t>
      </w:r>
      <w:r>
        <w:rPr>
          <w:sz w:val="23"/>
        </w:rPr>
        <w:t xml:space="preserve">zarówno </w:t>
      </w:r>
      <w:r w:rsidR="00602F33">
        <w:rPr>
          <w:sz w:val="23"/>
        </w:rPr>
        <w:t xml:space="preserve">   </w:t>
      </w:r>
      <w:r>
        <w:rPr>
          <w:sz w:val="23"/>
        </w:rPr>
        <w:t>do</w:t>
      </w:r>
      <w:r w:rsidR="00602F33">
        <w:rPr>
          <w:sz w:val="23"/>
        </w:rPr>
        <w:t xml:space="preserve">  </w:t>
      </w:r>
      <w:r>
        <w:rPr>
          <w:sz w:val="23"/>
        </w:rPr>
        <w:t xml:space="preserve"> </w:t>
      </w:r>
      <w:r w:rsidR="00602F33">
        <w:rPr>
          <w:sz w:val="23"/>
        </w:rPr>
        <w:t xml:space="preserve"> </w:t>
      </w:r>
      <w:r>
        <w:rPr>
          <w:sz w:val="23"/>
        </w:rPr>
        <w:t>działalności</w:t>
      </w:r>
      <w:r w:rsidR="00602F33">
        <w:rPr>
          <w:sz w:val="23"/>
        </w:rPr>
        <w:t xml:space="preserve">   </w:t>
      </w:r>
      <w:r>
        <w:rPr>
          <w:sz w:val="23"/>
        </w:rPr>
        <w:t xml:space="preserve"> gospodarczej,</w:t>
      </w:r>
      <w:r w:rsidR="00602F33">
        <w:rPr>
          <w:sz w:val="23"/>
        </w:rPr>
        <w:t xml:space="preserve">  </w:t>
      </w:r>
      <w:r>
        <w:rPr>
          <w:sz w:val="23"/>
        </w:rPr>
        <w:t xml:space="preserve"> objętej </w:t>
      </w:r>
      <w:r w:rsidR="00602F33">
        <w:rPr>
          <w:sz w:val="23"/>
        </w:rPr>
        <w:t xml:space="preserve">  </w:t>
      </w:r>
      <w:r>
        <w:rPr>
          <w:sz w:val="23"/>
        </w:rPr>
        <w:t>pomocą</w:t>
      </w:r>
      <w:r w:rsidR="00602F33">
        <w:rPr>
          <w:sz w:val="23"/>
        </w:rPr>
        <w:t xml:space="preserve">  </w:t>
      </w:r>
      <w:r>
        <w:rPr>
          <w:sz w:val="23"/>
        </w:rPr>
        <w:t xml:space="preserve"> publiczną, </w:t>
      </w:r>
      <w:r w:rsidR="00602F33">
        <w:rPr>
          <w:sz w:val="23"/>
        </w:rPr>
        <w:t xml:space="preserve">  </w:t>
      </w:r>
      <w:r>
        <w:rPr>
          <w:sz w:val="23"/>
        </w:rPr>
        <w:t>jak</w:t>
      </w:r>
    </w:p>
    <w:p w14:paraId="2150F9AE" w14:textId="77777777" w:rsidR="00E05D9F" w:rsidRPr="00C36DA5" w:rsidRDefault="00E05D9F" w:rsidP="00C36DA5">
      <w:pPr>
        <w:spacing w:line="254" w:lineRule="auto"/>
        <w:jc w:val="both"/>
        <w:rPr>
          <w:sz w:val="23"/>
        </w:rPr>
      </w:pPr>
      <w:r w:rsidRPr="00C36DA5">
        <w:rPr>
          <w:sz w:val="23"/>
        </w:rPr>
        <w:t>niegospodarczej, nieobjętej zasadami pomocy publicznej. Jednocześnie, w motywie (49) preambuły rozporządzenia 651/2014 wprowadzona została koncepcja czysto pomocniczego charakteru działalności gospodarczej, pozwalająca na całkowite wyłączenie spod zasad pomocy publicznej niektórych przypadków finansowania infrastruktury wykorzystywanej do obu tych celów :</w:t>
      </w:r>
    </w:p>
    <w:p w14:paraId="3A87407C" w14:textId="1D053C37" w:rsidR="00E05D9F" w:rsidRDefault="00E05D9F">
      <w:pPr>
        <w:spacing w:line="20" w:lineRule="exact"/>
        <w:rPr>
          <w:rFonts w:ascii="Times New Roman" w:eastAsia="Times New Roman" w:hAnsi="Times New Roman"/>
          <w:sz w:val="24"/>
        </w:rPr>
      </w:pPr>
    </w:p>
    <w:p w14:paraId="71C19854" w14:textId="77777777" w:rsidR="00E05D9F" w:rsidRDefault="00E05D9F">
      <w:pPr>
        <w:spacing w:line="200" w:lineRule="exact"/>
        <w:rPr>
          <w:rFonts w:ascii="Times New Roman" w:eastAsia="Times New Roman" w:hAnsi="Times New Roman"/>
          <w:sz w:val="24"/>
        </w:rPr>
      </w:pPr>
    </w:p>
    <w:p w14:paraId="6883BD5F" w14:textId="77777777" w:rsidR="00C36DA5" w:rsidRDefault="00C36DA5">
      <w:pPr>
        <w:spacing w:line="200" w:lineRule="exact"/>
        <w:rPr>
          <w:rFonts w:ascii="Times New Roman" w:eastAsia="Times New Roman" w:hAnsi="Times New Roman"/>
          <w:sz w:val="24"/>
        </w:rPr>
      </w:pPr>
    </w:p>
    <w:p w14:paraId="62FB17D3" w14:textId="77777777" w:rsidR="00C36DA5" w:rsidRDefault="00C36DA5">
      <w:pPr>
        <w:spacing w:line="200" w:lineRule="exact"/>
        <w:rPr>
          <w:rFonts w:ascii="Times New Roman" w:eastAsia="Times New Roman" w:hAnsi="Times New Roman"/>
          <w:sz w:val="24"/>
        </w:rPr>
      </w:pPr>
    </w:p>
    <w:p w14:paraId="56CF5C92" w14:textId="77777777" w:rsidR="00C36DA5" w:rsidRDefault="00C36DA5">
      <w:pPr>
        <w:spacing w:line="200" w:lineRule="exact"/>
        <w:rPr>
          <w:rFonts w:ascii="Times New Roman" w:eastAsia="Times New Roman" w:hAnsi="Times New Roman"/>
          <w:sz w:val="24"/>
        </w:rPr>
      </w:pPr>
    </w:p>
    <w:p w14:paraId="03232BE7" w14:textId="77777777" w:rsidR="00C36DA5" w:rsidRDefault="00C36DA5">
      <w:pPr>
        <w:spacing w:line="200" w:lineRule="exact"/>
        <w:rPr>
          <w:rFonts w:ascii="Times New Roman" w:eastAsia="Times New Roman" w:hAnsi="Times New Roman"/>
          <w:sz w:val="24"/>
        </w:rPr>
      </w:pPr>
    </w:p>
    <w:p w14:paraId="4E733685" w14:textId="1760CC48" w:rsidR="00E05D9F" w:rsidRDefault="00C36DA5">
      <w:pPr>
        <w:spacing w:line="200" w:lineRule="exact"/>
        <w:rPr>
          <w:rFonts w:ascii="Times New Roman" w:eastAsia="Times New Roman" w:hAnsi="Times New Roman"/>
          <w:sz w:val="24"/>
        </w:rPr>
      </w:pPr>
      <w:r>
        <w:rPr>
          <w:noProof/>
          <w:sz w:val="21"/>
        </w:rPr>
        <mc:AlternateContent>
          <mc:Choice Requires="wps">
            <w:drawing>
              <wp:anchor distT="0" distB="0" distL="114300" distR="114300" simplePos="0" relativeHeight="251658240" behindDoc="1" locked="0" layoutInCell="1" allowOverlap="1" wp14:anchorId="005E40BE" wp14:editId="282A6AA5">
                <wp:simplePos x="0" y="0"/>
                <wp:positionH relativeFrom="column">
                  <wp:posOffset>0</wp:posOffset>
                </wp:positionH>
                <wp:positionV relativeFrom="paragraph">
                  <wp:posOffset>79375</wp:posOffset>
                </wp:positionV>
                <wp:extent cx="1830705" cy="0"/>
                <wp:effectExtent l="10795" t="13335" r="6350" b="5715"/>
                <wp:wrapNone/>
                <wp:docPr id="669276718"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BAF73" id="Line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144.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WHsAEAAEgDAAAOAAAAZHJzL2Uyb0RvYy54bWysU8Fu2zAMvQ/YPwi6L3YyZO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"/>
            </w:pict>
          </mc:Fallback>
        </mc:AlternateContent>
      </w:r>
    </w:p>
    <w:p w14:paraId="47438414" w14:textId="77777777" w:rsidR="00E05D9F" w:rsidRPr="00C36DA5" w:rsidRDefault="00E05D9F" w:rsidP="00FE1021">
      <w:pPr>
        <w:numPr>
          <w:ilvl w:val="0"/>
          <w:numId w:val="2"/>
        </w:numPr>
        <w:tabs>
          <w:tab w:val="left" w:pos="98"/>
        </w:tabs>
        <w:spacing w:line="220" w:lineRule="auto"/>
        <w:ind w:left="8" w:right="20" w:hanging="8"/>
        <w:jc w:val="both"/>
        <w:rPr>
          <w:sz w:val="24"/>
          <w:vertAlign w:val="superscript"/>
        </w:rPr>
      </w:pPr>
      <w:r>
        <w:rPr>
          <w:sz w:val="18"/>
        </w:rPr>
        <w:t>W rozumieniu definicji z art. 2 p. 91) Rozporządzenia Komisji (UE) Nr 651/2014 z dnia 17 czerwca 2014 r. uznającego niektóre rodzaje pomocy za zgodne z rynkiem wewnętrznym w zastosowaniu art. 107 i 108 Traktatu oraz z p. 15 (ff) Zasad ramowych dotyczących pomocy państwa na działalność badawczą, rozwojową i innowacyjną.</w:t>
      </w:r>
    </w:p>
    <w:p w14:paraId="1428C358" w14:textId="77777777" w:rsidR="00E05D9F" w:rsidRDefault="00E05D9F" w:rsidP="00FE1021">
      <w:pPr>
        <w:numPr>
          <w:ilvl w:val="0"/>
          <w:numId w:val="2"/>
        </w:numPr>
        <w:tabs>
          <w:tab w:val="left" w:pos="158"/>
        </w:tabs>
        <w:spacing w:line="230" w:lineRule="auto"/>
        <w:ind w:left="8" w:right="20" w:hanging="8"/>
        <w:jc w:val="both"/>
        <w:rPr>
          <w:sz w:val="24"/>
          <w:vertAlign w:val="superscript"/>
        </w:rPr>
      </w:pPr>
      <w:r>
        <w:rPr>
          <w:sz w:val="18"/>
        </w:rPr>
        <w:t>Dotyczy to sytuacji, gdy sfinansowanie zakupu lub wytworzenia infrastruktury badawczej odbyło się na zasadach nieprzewidujących jej gospodarczego wykorzystania – tj. bez pomocy publicznej oraz kryteria wyboru projektów, na podstawie których dany projekt został wybrany do dofinansowania nie wykluczały możliwości prowadzenia działalności gospodarczej na infrastrukturze badawczej zakupionej lub wytworzonej w ramach projektu.</w:t>
      </w:r>
    </w:p>
    <w:p w14:paraId="7ADABDE3" w14:textId="77777777" w:rsidR="00E05D9F" w:rsidRDefault="00E05D9F">
      <w:pPr>
        <w:spacing w:line="267" w:lineRule="exact"/>
        <w:rPr>
          <w:rFonts w:ascii="Times New Roman" w:eastAsia="Times New Roman" w:hAnsi="Times New Roman"/>
          <w:sz w:val="24"/>
        </w:rPr>
      </w:pPr>
    </w:p>
    <w:p w14:paraId="34B3B323" w14:textId="77777777" w:rsidR="00E05D9F" w:rsidRDefault="00E05D9F">
      <w:pPr>
        <w:spacing w:line="0" w:lineRule="atLeast"/>
        <w:ind w:left="8988"/>
        <w:rPr>
          <w:sz w:val="18"/>
        </w:rPr>
      </w:pPr>
      <w:r>
        <w:rPr>
          <w:sz w:val="18"/>
        </w:rPr>
        <w:t>1</w:t>
      </w:r>
    </w:p>
    <w:p w14:paraId="6CEC215A" w14:textId="77777777" w:rsidR="00E05D9F" w:rsidRDefault="00E05D9F">
      <w:pPr>
        <w:spacing w:line="0" w:lineRule="atLeast"/>
        <w:ind w:left="8988"/>
        <w:rPr>
          <w:sz w:val="18"/>
        </w:rPr>
        <w:sectPr w:rsidR="00E05D9F" w:rsidSect="00374255">
          <w:headerReference w:type="default" r:id="rId8"/>
          <w:footerReference w:type="default" r:id="rId9"/>
          <w:headerReference w:type="first" r:id="rId10"/>
          <w:footerReference w:type="first" r:id="rId11"/>
          <w:pgSz w:w="11920" w:h="16845"/>
          <w:pgMar w:top="1148" w:right="1410" w:bottom="1135" w:left="1412" w:header="0" w:footer="210" w:gutter="0"/>
          <w:cols w:space="0" w:equalWidth="0">
            <w:col w:w="9088"/>
          </w:cols>
          <w:titlePg/>
          <w:docGrid w:linePitch="360"/>
        </w:sectPr>
      </w:pPr>
    </w:p>
    <w:p w14:paraId="39C85928" w14:textId="77777777" w:rsidR="00E05D9F" w:rsidRDefault="00E05D9F">
      <w:pPr>
        <w:spacing w:line="13" w:lineRule="exact"/>
        <w:rPr>
          <w:rFonts w:ascii="Times New Roman" w:eastAsia="Times New Roman" w:hAnsi="Times New Roman"/>
        </w:rPr>
      </w:pPr>
      <w:bookmarkStart w:id="1" w:name="page2"/>
      <w:bookmarkEnd w:id="1"/>
    </w:p>
    <w:p w14:paraId="561116E4" w14:textId="77777777" w:rsidR="00E05D9F" w:rsidRPr="00D861EA" w:rsidRDefault="00E05D9F" w:rsidP="00FE1021">
      <w:pPr>
        <w:numPr>
          <w:ilvl w:val="0"/>
          <w:numId w:val="3"/>
        </w:numPr>
        <w:tabs>
          <w:tab w:val="left" w:pos="459"/>
        </w:tabs>
        <w:spacing w:line="280" w:lineRule="auto"/>
        <w:ind w:left="8" w:hanging="8"/>
        <w:jc w:val="both"/>
        <w:rPr>
          <w:i/>
          <w:sz w:val="21"/>
          <w:szCs w:val="21"/>
        </w:rPr>
      </w:pPr>
      <w:r>
        <w:rPr>
          <w:i/>
          <w:sz w:val="21"/>
        </w:rPr>
        <w:t>Infrastruktury badawcze mogą służyć do prowadzenia zarówno działalności gospodarczej, jak i</w:t>
      </w:r>
      <w:r w:rsidR="00903213">
        <w:rPr>
          <w:i/>
          <w:sz w:val="21"/>
        </w:rPr>
        <w:t> </w:t>
      </w:r>
      <w:r w:rsidRPr="00D861EA">
        <w:rPr>
          <w:i/>
          <w:sz w:val="21"/>
          <w:szCs w:val="21"/>
        </w:rPr>
        <w:t>niegospodarczej. W celu uniknięcia przyznawania pomocy państwa na działalność gospodarczą poprzez</w:t>
      </w:r>
      <w:r w:rsidR="00903213">
        <w:rPr>
          <w:i/>
          <w:sz w:val="21"/>
          <w:szCs w:val="21"/>
        </w:rPr>
        <w:t> </w:t>
      </w:r>
      <w:r w:rsidRPr="00D861EA">
        <w:rPr>
          <w:i/>
          <w:sz w:val="21"/>
          <w:szCs w:val="21"/>
        </w:rPr>
        <w:t>finansowanie działalności niegospodarczej ze środków publicznych, koszty i finansowanie</w:t>
      </w:r>
      <w:r w:rsidR="00D861EA" w:rsidRPr="00D861EA">
        <w:rPr>
          <w:i/>
          <w:sz w:val="21"/>
          <w:szCs w:val="21"/>
        </w:rPr>
        <w:t xml:space="preserve"> </w:t>
      </w:r>
      <w:r w:rsidRPr="00D861EA">
        <w:rPr>
          <w:i/>
          <w:sz w:val="21"/>
          <w:szCs w:val="21"/>
        </w:rPr>
        <w:t>działalności gospodarczej i niegospodarczej powinny być wyraźnie oddzielone. W przypadku gdy</w:t>
      </w:r>
      <w:r w:rsidR="00D861EA">
        <w:rPr>
          <w:i/>
          <w:sz w:val="21"/>
          <w:szCs w:val="21"/>
        </w:rPr>
        <w:t xml:space="preserve"> </w:t>
      </w:r>
      <w:r w:rsidRPr="00D861EA">
        <w:rPr>
          <w:i/>
          <w:sz w:val="21"/>
          <w:szCs w:val="21"/>
        </w:rPr>
        <w:t>infrastrukturę wykorzystuje się do prowadzenia zarówno działalności gospodarczej, jak i niegospodarczej, finansowanie ze środków publicznych kosztów związanych z działalnością</w:t>
      </w:r>
      <w:r w:rsidR="00D861EA">
        <w:rPr>
          <w:i/>
          <w:sz w:val="21"/>
          <w:szCs w:val="21"/>
        </w:rPr>
        <w:t xml:space="preserve"> </w:t>
      </w:r>
      <w:r w:rsidRPr="00D861EA">
        <w:rPr>
          <w:i/>
          <w:sz w:val="21"/>
          <w:szCs w:val="21"/>
        </w:rPr>
        <w:t>niegospodarczą tej infrastruktury nie stanowi pomocy państwa. Zasadami pomocy państwa obejmuje się tylko te środki publiczne, które powiązane są z działalnością gospodarczą. W celu zapewnienia zgodności z progami powodującymi obowiązek zgłoszenia i maksymalnymi poziomami intensywności pomocy należy uwzględniać jedynie działalność gospodarczą. Jeśli infrastruktura służy niemal wyłącznie do prowadzenia działalności niegospodarczej, jej finansowanie może w całości wykraczać poza zakres zasad pomocy państwa, pod warunkiem że jej gospodarcze wykorzystanie zachowa czysto pomocniczy charakter, tj.</w:t>
      </w:r>
      <w:r w:rsidR="00903213">
        <w:rPr>
          <w:i/>
          <w:sz w:val="21"/>
          <w:szCs w:val="21"/>
        </w:rPr>
        <w:t> </w:t>
      </w:r>
      <w:r w:rsidRPr="00D861EA">
        <w:rPr>
          <w:i/>
          <w:sz w:val="21"/>
          <w:szCs w:val="21"/>
        </w:rPr>
        <w:t>działalności o ograniczonym zakresie, bezpośrednio związanej z funkcjonowaniem infrastruktury i</w:t>
      </w:r>
      <w:r w:rsidR="00903213">
        <w:rPr>
          <w:i/>
          <w:sz w:val="21"/>
          <w:szCs w:val="21"/>
        </w:rPr>
        <w:t> </w:t>
      </w:r>
      <w:r w:rsidRPr="00D861EA">
        <w:rPr>
          <w:i/>
          <w:sz w:val="21"/>
          <w:szCs w:val="21"/>
        </w:rPr>
        <w:t>koniecznej do jej funkcjonowania lub nieodłącznie związanej z jej głównym przeznaczeniem niegospodarczym. Należy uznać, że taka sytuacja zachodzi, jeśli działalność gospodarcza pochłania takie same nakłady (takie jak materiały, sprzęt, siła robocza i majątek trwały) jak działalność niegospodarcza, a</w:t>
      </w:r>
      <w:r w:rsidR="00903213">
        <w:rPr>
          <w:i/>
          <w:sz w:val="21"/>
          <w:szCs w:val="21"/>
        </w:rPr>
        <w:t> </w:t>
      </w:r>
      <w:r w:rsidRPr="00D861EA">
        <w:rPr>
          <w:i/>
          <w:sz w:val="21"/>
          <w:szCs w:val="21"/>
        </w:rPr>
        <w:t>wydajność przewidziana corocznie na taką działalność gospodarczą nie przekracza 20% całkowitej rocznej wydajności infrastruktury badawczej.</w:t>
      </w:r>
    </w:p>
    <w:p w14:paraId="68A80DFB" w14:textId="77777777" w:rsidR="00E05D9F" w:rsidRDefault="00E05D9F">
      <w:pPr>
        <w:spacing w:line="238" w:lineRule="exact"/>
        <w:rPr>
          <w:rFonts w:ascii="Times New Roman" w:eastAsia="Times New Roman" w:hAnsi="Times New Roman"/>
        </w:rPr>
      </w:pPr>
    </w:p>
    <w:p w14:paraId="122D3845" w14:textId="77777777" w:rsidR="00E05D9F" w:rsidRDefault="00E05D9F">
      <w:pPr>
        <w:spacing w:line="280" w:lineRule="auto"/>
        <w:ind w:left="8"/>
        <w:jc w:val="both"/>
        <w:rPr>
          <w:sz w:val="21"/>
        </w:rPr>
      </w:pPr>
      <w:r>
        <w:rPr>
          <w:sz w:val="21"/>
        </w:rPr>
        <w:t xml:space="preserve">Również w Komunikacie Komisji </w:t>
      </w:r>
      <w:r>
        <w:rPr>
          <w:i/>
          <w:sz w:val="21"/>
        </w:rPr>
        <w:t>Zasady ramowe dotyczące pomocy państwa na działalność badawczą, rozwojową i innowacyjną</w:t>
      </w:r>
      <w:r>
        <w:rPr>
          <w:sz w:val="21"/>
        </w:rPr>
        <w:t xml:space="preserve"> (2014/C 198/01; dalej: Zasady ramowe) została wprowadzona analogiczna koncepcja czysto pomocniczego charakteru działalności gospodarczej, której finansowanie, przy spełnieniu warunków określonych w Komunikacie, nie stanowi pomocy publicznej:</w:t>
      </w:r>
    </w:p>
    <w:p w14:paraId="6BD459A0" w14:textId="77777777" w:rsidR="00E05D9F" w:rsidRDefault="00E05D9F">
      <w:pPr>
        <w:spacing w:line="245" w:lineRule="exact"/>
        <w:rPr>
          <w:rFonts w:ascii="Times New Roman" w:eastAsia="Times New Roman" w:hAnsi="Times New Roman"/>
        </w:rPr>
      </w:pPr>
    </w:p>
    <w:p w14:paraId="4C7F2F8F" w14:textId="77777777" w:rsidR="00E05D9F" w:rsidRDefault="00E05D9F" w:rsidP="00FE1021">
      <w:pPr>
        <w:numPr>
          <w:ilvl w:val="0"/>
          <w:numId w:val="4"/>
        </w:numPr>
        <w:tabs>
          <w:tab w:val="left" w:pos="413"/>
        </w:tabs>
        <w:spacing w:line="265" w:lineRule="auto"/>
        <w:ind w:left="8" w:right="20" w:hanging="8"/>
        <w:jc w:val="both"/>
        <w:rPr>
          <w:i/>
          <w:sz w:val="21"/>
        </w:rPr>
      </w:pPr>
      <w:r>
        <w:rPr>
          <w:i/>
          <w:sz w:val="21"/>
        </w:rPr>
        <w:t>Jeżeli organizację prowadzącą badania albo infrastrukturę badawczą wykorzystuje się zarówno do</w:t>
      </w:r>
      <w:r w:rsidR="00903213">
        <w:rPr>
          <w:i/>
          <w:sz w:val="21"/>
        </w:rPr>
        <w:t> </w:t>
      </w:r>
      <w:r>
        <w:rPr>
          <w:i/>
          <w:sz w:val="21"/>
        </w:rPr>
        <w:t>prowadzenia działalności gospodarczej, jak i niegospodarczej, zasadami pomocy państwa obejmuje się</w:t>
      </w:r>
    </w:p>
    <w:p w14:paraId="46505219" w14:textId="77777777" w:rsidR="00E05D9F" w:rsidRDefault="00E05D9F">
      <w:pPr>
        <w:spacing w:line="41" w:lineRule="exact"/>
        <w:rPr>
          <w:i/>
          <w:sz w:val="21"/>
        </w:rPr>
      </w:pPr>
    </w:p>
    <w:p w14:paraId="126A580F" w14:textId="77777777" w:rsidR="00E05D9F" w:rsidRDefault="00E05D9F">
      <w:pPr>
        <w:spacing w:line="260" w:lineRule="auto"/>
        <w:ind w:left="8"/>
        <w:jc w:val="both"/>
        <w:rPr>
          <w:i/>
          <w:sz w:val="22"/>
        </w:rPr>
      </w:pPr>
      <w:r>
        <w:rPr>
          <w:i/>
          <w:sz w:val="22"/>
        </w:rPr>
        <w:t>te środki publiczne, które powiązane są z działalnością gospodarczą</w:t>
      </w:r>
      <w:r>
        <w:rPr>
          <w:i/>
          <w:sz w:val="26"/>
          <w:vertAlign w:val="superscript"/>
        </w:rPr>
        <w:t>3</w:t>
      </w:r>
      <w:r>
        <w:rPr>
          <w:i/>
          <w:sz w:val="22"/>
        </w:rPr>
        <w:t>. Jeśli organizacja prowadząca badania lub infrastruktura badawcza prowadzi niemal wyłącznie działalność niegospodarczą, jej finansowanie może być w całości nieobjęte zasadami pomocy państwa, pod warunkiem że jej działalność gospodarcza ma charakter czysto pomocniczy, tj. odpowiada działalności, która jest bezpośrednio związana z funkcjonowaniem danej organizacji prowadzącej badania lub infrastruktury badawczej</w:t>
      </w:r>
      <w:r w:rsidR="00903213">
        <w:rPr>
          <w:i/>
          <w:sz w:val="22"/>
        </w:rPr>
        <w:t xml:space="preserve"> </w:t>
      </w:r>
      <w:r>
        <w:rPr>
          <w:i/>
          <w:sz w:val="22"/>
        </w:rPr>
        <w:t xml:space="preserve"> i </w:t>
      </w:r>
      <w:r w:rsidR="00903213">
        <w:rPr>
          <w:i/>
          <w:sz w:val="22"/>
        </w:rPr>
        <w:t xml:space="preserve"> </w:t>
      </w:r>
      <w:r>
        <w:rPr>
          <w:i/>
          <w:sz w:val="22"/>
        </w:rPr>
        <w:t>konieczna do</w:t>
      </w:r>
      <w:r w:rsidR="00903213">
        <w:rPr>
          <w:i/>
          <w:sz w:val="22"/>
        </w:rPr>
        <w:t xml:space="preserve">  </w:t>
      </w:r>
      <w:r>
        <w:rPr>
          <w:i/>
          <w:sz w:val="22"/>
        </w:rPr>
        <w:t xml:space="preserve"> jej </w:t>
      </w:r>
      <w:r w:rsidR="00903213">
        <w:rPr>
          <w:i/>
          <w:sz w:val="22"/>
        </w:rPr>
        <w:t xml:space="preserve">  </w:t>
      </w:r>
      <w:r>
        <w:rPr>
          <w:i/>
          <w:sz w:val="22"/>
        </w:rPr>
        <w:t xml:space="preserve">funkcjonowania lub </w:t>
      </w:r>
      <w:r w:rsidR="00903213">
        <w:rPr>
          <w:i/>
          <w:sz w:val="22"/>
        </w:rPr>
        <w:t xml:space="preserve">  </w:t>
      </w:r>
      <w:r>
        <w:rPr>
          <w:i/>
          <w:sz w:val="22"/>
        </w:rPr>
        <w:t>nieodłącznie związana z jej główną działalnością</w:t>
      </w:r>
    </w:p>
    <w:p w14:paraId="14C0FC29" w14:textId="77777777" w:rsidR="00E05D9F" w:rsidRDefault="00E05D9F">
      <w:pPr>
        <w:spacing w:line="63" w:lineRule="exact"/>
        <w:rPr>
          <w:i/>
          <w:sz w:val="21"/>
        </w:rPr>
      </w:pPr>
    </w:p>
    <w:p w14:paraId="4A967A06" w14:textId="77777777" w:rsidR="00E05D9F" w:rsidRDefault="00E05D9F">
      <w:pPr>
        <w:spacing w:line="252" w:lineRule="auto"/>
        <w:ind w:left="8"/>
        <w:jc w:val="both"/>
        <w:rPr>
          <w:i/>
          <w:sz w:val="21"/>
        </w:rPr>
      </w:pPr>
      <w:r>
        <w:rPr>
          <w:i/>
          <w:sz w:val="21"/>
        </w:rPr>
        <w:t>niegospodarczą</w:t>
      </w:r>
      <w:r>
        <w:rPr>
          <w:i/>
          <w:sz w:val="25"/>
          <w:vertAlign w:val="superscript"/>
        </w:rPr>
        <w:t>4</w:t>
      </w:r>
      <w:r>
        <w:rPr>
          <w:i/>
          <w:sz w:val="21"/>
        </w:rPr>
        <w:t xml:space="preserve"> oraz która ma ograniczony zakres. Do celów niniejszych wytycznych Komisja uznaje, że ma to miejsce, kiedy w ramach działalności gospodarczej wykorzystuje się dokładnie te same nakłady (np.</w:t>
      </w:r>
      <w:r w:rsidR="00903213">
        <w:rPr>
          <w:i/>
          <w:sz w:val="21"/>
        </w:rPr>
        <w:t> </w:t>
      </w:r>
      <w:r>
        <w:rPr>
          <w:i/>
          <w:sz w:val="21"/>
        </w:rPr>
        <w:t xml:space="preserve">materiały, </w:t>
      </w:r>
      <w:r w:rsidR="00903213">
        <w:rPr>
          <w:i/>
          <w:sz w:val="21"/>
        </w:rPr>
        <w:t xml:space="preserve"> </w:t>
      </w:r>
      <w:r>
        <w:rPr>
          <w:i/>
          <w:sz w:val="21"/>
        </w:rPr>
        <w:t xml:space="preserve">wyposażenie, </w:t>
      </w:r>
      <w:r w:rsidR="00903213">
        <w:rPr>
          <w:i/>
          <w:sz w:val="21"/>
        </w:rPr>
        <w:t xml:space="preserve"> </w:t>
      </w:r>
      <w:r>
        <w:rPr>
          <w:i/>
          <w:sz w:val="21"/>
        </w:rPr>
        <w:t xml:space="preserve">siłę </w:t>
      </w:r>
      <w:r w:rsidR="00903213">
        <w:rPr>
          <w:i/>
          <w:sz w:val="21"/>
        </w:rPr>
        <w:t xml:space="preserve"> </w:t>
      </w:r>
      <w:r>
        <w:rPr>
          <w:i/>
          <w:sz w:val="21"/>
        </w:rPr>
        <w:t xml:space="preserve">roboczą i aktywa </w:t>
      </w:r>
      <w:r w:rsidR="00903213">
        <w:rPr>
          <w:i/>
          <w:sz w:val="21"/>
        </w:rPr>
        <w:t xml:space="preserve"> </w:t>
      </w:r>
      <w:r>
        <w:rPr>
          <w:i/>
          <w:sz w:val="21"/>
        </w:rPr>
        <w:t xml:space="preserve">trwałe) co </w:t>
      </w:r>
      <w:r w:rsidR="00903213">
        <w:rPr>
          <w:i/>
          <w:sz w:val="21"/>
        </w:rPr>
        <w:t xml:space="preserve"> </w:t>
      </w:r>
      <w:r>
        <w:rPr>
          <w:i/>
          <w:sz w:val="21"/>
        </w:rPr>
        <w:t>w</w:t>
      </w:r>
      <w:r w:rsidR="00903213">
        <w:rPr>
          <w:i/>
          <w:sz w:val="21"/>
        </w:rPr>
        <w:t xml:space="preserve"> </w:t>
      </w:r>
      <w:r>
        <w:rPr>
          <w:i/>
          <w:sz w:val="21"/>
        </w:rPr>
        <w:t xml:space="preserve"> przypadku działalności niegospodarczej</w:t>
      </w:r>
    </w:p>
    <w:p w14:paraId="09D41CD0" w14:textId="4BF2241D" w:rsidR="00E05D9F" w:rsidRDefault="00E05D9F">
      <w:pPr>
        <w:spacing w:line="20" w:lineRule="exact"/>
        <w:rPr>
          <w:rFonts w:ascii="Times New Roman" w:eastAsia="Times New Roman" w:hAnsi="Times New Roman"/>
        </w:rPr>
      </w:pPr>
    </w:p>
    <w:p w14:paraId="2A5AE210" w14:textId="77777777" w:rsidR="00C36DA5" w:rsidRDefault="00C36DA5">
      <w:pPr>
        <w:spacing w:line="200" w:lineRule="exact"/>
        <w:rPr>
          <w:rFonts w:ascii="Times New Roman" w:eastAsia="Times New Roman" w:hAnsi="Times New Roman"/>
        </w:rPr>
      </w:pPr>
    </w:p>
    <w:p w14:paraId="6E110D9A" w14:textId="77777777" w:rsidR="00C36DA5" w:rsidRDefault="00C36DA5">
      <w:pPr>
        <w:spacing w:line="200" w:lineRule="exact"/>
        <w:rPr>
          <w:rFonts w:ascii="Times New Roman" w:eastAsia="Times New Roman" w:hAnsi="Times New Roman"/>
        </w:rPr>
      </w:pPr>
    </w:p>
    <w:p w14:paraId="7B52581A" w14:textId="77777777" w:rsidR="00C36DA5" w:rsidRDefault="00C36DA5">
      <w:pPr>
        <w:spacing w:line="200" w:lineRule="exact"/>
        <w:rPr>
          <w:rFonts w:ascii="Times New Roman" w:eastAsia="Times New Roman" w:hAnsi="Times New Roman"/>
        </w:rPr>
      </w:pPr>
    </w:p>
    <w:p w14:paraId="672E88E1" w14:textId="77777777" w:rsidR="00C36DA5" w:rsidRDefault="00C36DA5">
      <w:pPr>
        <w:spacing w:line="200" w:lineRule="exact"/>
        <w:rPr>
          <w:rFonts w:ascii="Times New Roman" w:eastAsia="Times New Roman" w:hAnsi="Times New Roman"/>
        </w:rPr>
      </w:pPr>
    </w:p>
    <w:p w14:paraId="4049F1F7" w14:textId="77777777" w:rsidR="00C36DA5" w:rsidRDefault="00C36DA5">
      <w:pPr>
        <w:spacing w:line="200" w:lineRule="exact"/>
        <w:rPr>
          <w:rFonts w:ascii="Times New Roman" w:eastAsia="Times New Roman" w:hAnsi="Times New Roman"/>
        </w:rPr>
      </w:pPr>
    </w:p>
    <w:p w14:paraId="41BBC3B7" w14:textId="77777777" w:rsidR="00C36DA5" w:rsidRDefault="00C36DA5">
      <w:pPr>
        <w:spacing w:line="200" w:lineRule="exact"/>
        <w:rPr>
          <w:rFonts w:ascii="Times New Roman" w:eastAsia="Times New Roman" w:hAnsi="Times New Roman"/>
        </w:rPr>
      </w:pPr>
    </w:p>
    <w:p w14:paraId="285CC8AD" w14:textId="77777777" w:rsidR="00C36DA5" w:rsidRDefault="00C36DA5">
      <w:pPr>
        <w:spacing w:line="200" w:lineRule="exact"/>
        <w:rPr>
          <w:rFonts w:ascii="Times New Roman" w:eastAsia="Times New Roman" w:hAnsi="Times New Roman"/>
        </w:rPr>
      </w:pPr>
    </w:p>
    <w:p w14:paraId="1CC4256E" w14:textId="77790C3E" w:rsidR="00C36DA5" w:rsidRDefault="00C36DA5">
      <w:pPr>
        <w:spacing w:line="200" w:lineRule="exact"/>
        <w:rPr>
          <w:rFonts w:ascii="Times New Roman" w:eastAsia="Times New Roman" w:hAnsi="Times New Roman"/>
        </w:rPr>
      </w:pPr>
      <w:r>
        <w:rPr>
          <w:i/>
          <w:noProof/>
          <w:sz w:val="21"/>
        </w:rPr>
        <mc:AlternateContent>
          <mc:Choice Requires="wps">
            <w:drawing>
              <wp:anchor distT="0" distB="0" distL="114300" distR="114300" simplePos="0" relativeHeight="251658241" behindDoc="1" locked="0" layoutInCell="1" allowOverlap="1" wp14:anchorId="3AE67065" wp14:editId="7E4A16E7">
                <wp:simplePos x="0" y="0"/>
                <wp:positionH relativeFrom="column">
                  <wp:posOffset>9525</wp:posOffset>
                </wp:positionH>
                <wp:positionV relativeFrom="paragraph">
                  <wp:posOffset>64770</wp:posOffset>
                </wp:positionV>
                <wp:extent cx="1830705" cy="0"/>
                <wp:effectExtent l="10795" t="9525" r="6350" b="9525"/>
                <wp:wrapNone/>
                <wp:docPr id="155663585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79B2C" id="Line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1pt" to="144.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WHsAEAAEgDAAAOAAAAZHJzL2Uyb0RvYy54bWysU8Fu2zAMvQ/YPwi6L3YyZO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"/>
            </w:pict>
          </mc:Fallback>
        </mc:AlternateContent>
      </w:r>
    </w:p>
    <w:p w14:paraId="0471F121" w14:textId="77777777" w:rsidR="00E05D9F" w:rsidRDefault="00E05D9F" w:rsidP="00FE1021">
      <w:pPr>
        <w:numPr>
          <w:ilvl w:val="0"/>
          <w:numId w:val="5"/>
        </w:numPr>
        <w:tabs>
          <w:tab w:val="left" w:pos="128"/>
        </w:tabs>
        <w:spacing w:line="215" w:lineRule="auto"/>
        <w:ind w:left="8" w:right="20" w:hanging="8"/>
        <w:jc w:val="both"/>
        <w:rPr>
          <w:sz w:val="24"/>
          <w:vertAlign w:val="superscript"/>
        </w:rPr>
      </w:pPr>
      <w:r>
        <w:rPr>
          <w:sz w:val="18"/>
        </w:rPr>
        <w:t>Jeżeli organizacja prowadząca badania lub infrastruktura badawcza jest finansowana zarówno ze źródeł publicznych, jak i</w:t>
      </w:r>
      <w:r w:rsidR="00596671">
        <w:rPr>
          <w:sz w:val="18"/>
        </w:rPr>
        <w:t> </w:t>
      </w:r>
      <w:r>
        <w:rPr>
          <w:sz w:val="18"/>
        </w:rPr>
        <w:t>prywatnych, Komisja uznaje, że ma to miejsce, kiedy finansowanie publiczne przyznane danemu podmiotowi na określony okres obrachunkowy przekracza koszty działalności niegospodarczej poniesione w tym okresie.</w:t>
      </w:r>
    </w:p>
    <w:p w14:paraId="7B2C481B" w14:textId="77777777" w:rsidR="00E05D9F" w:rsidRDefault="00E05D9F" w:rsidP="00FE1021">
      <w:pPr>
        <w:numPr>
          <w:ilvl w:val="0"/>
          <w:numId w:val="5"/>
        </w:numPr>
        <w:tabs>
          <w:tab w:val="left" w:pos="143"/>
        </w:tabs>
        <w:spacing w:line="196" w:lineRule="auto"/>
        <w:ind w:left="8" w:right="40" w:hanging="8"/>
        <w:jc w:val="both"/>
        <w:rPr>
          <w:sz w:val="24"/>
          <w:vertAlign w:val="superscript"/>
        </w:rPr>
      </w:pPr>
      <w:r>
        <w:rPr>
          <w:sz w:val="18"/>
        </w:rPr>
        <w:t>Poprzez działalność niegospodarczą należy rozumieć rodzaje działalności, o których mowa w pkt. 19 Zasad ramowych dotyczących pomocy państwa na działalność badawczą, rozwojową i innowacyjną (2014/C 198/01).</w:t>
      </w:r>
    </w:p>
    <w:p w14:paraId="6CD727DF" w14:textId="77777777" w:rsidR="00E05D9F" w:rsidRDefault="00E05D9F">
      <w:pPr>
        <w:spacing w:line="266" w:lineRule="exact"/>
        <w:rPr>
          <w:rFonts w:ascii="Times New Roman" w:eastAsia="Times New Roman" w:hAnsi="Times New Roman"/>
        </w:rPr>
      </w:pPr>
    </w:p>
    <w:p w14:paraId="15217DCA" w14:textId="77777777" w:rsidR="00E05D9F" w:rsidRDefault="00E05D9F">
      <w:pPr>
        <w:spacing w:line="0" w:lineRule="atLeast"/>
        <w:ind w:left="8988"/>
        <w:rPr>
          <w:sz w:val="18"/>
        </w:rPr>
      </w:pPr>
      <w:r>
        <w:rPr>
          <w:sz w:val="18"/>
        </w:rPr>
        <w:t>2</w:t>
      </w:r>
    </w:p>
    <w:p w14:paraId="40E377E3" w14:textId="77777777" w:rsidR="00E05D9F" w:rsidRDefault="00E05D9F">
      <w:pPr>
        <w:spacing w:line="0" w:lineRule="atLeast"/>
        <w:ind w:left="8988"/>
        <w:rPr>
          <w:sz w:val="18"/>
        </w:rPr>
      </w:pPr>
    </w:p>
    <w:p w14:paraId="717B2092" w14:textId="77777777" w:rsidR="009A2873" w:rsidRDefault="009A2873" w:rsidP="009A2873">
      <w:pPr>
        <w:rPr>
          <w:sz w:val="18"/>
        </w:rPr>
      </w:pPr>
    </w:p>
    <w:p w14:paraId="010A2097" w14:textId="77777777" w:rsidR="00E05D9F" w:rsidRDefault="00E05D9F">
      <w:pPr>
        <w:spacing w:line="13" w:lineRule="exact"/>
        <w:rPr>
          <w:rFonts w:ascii="Times New Roman" w:eastAsia="Times New Roman" w:hAnsi="Times New Roman"/>
        </w:rPr>
      </w:pPr>
      <w:bookmarkStart w:id="2" w:name="page3"/>
      <w:bookmarkEnd w:id="2"/>
    </w:p>
    <w:p w14:paraId="7C90EDA9" w14:textId="77777777" w:rsidR="00E05D9F" w:rsidRDefault="00E05D9F" w:rsidP="00511B91">
      <w:pPr>
        <w:spacing w:line="230" w:lineRule="auto"/>
        <w:ind w:left="8" w:right="20"/>
        <w:jc w:val="both"/>
        <w:rPr>
          <w:i/>
          <w:sz w:val="23"/>
        </w:rPr>
      </w:pPr>
      <w:r>
        <w:rPr>
          <w:i/>
          <w:sz w:val="23"/>
        </w:rPr>
        <w:lastRenderedPageBreak/>
        <w:t>oraz kiedy zasoby przeznaczane rocznie na działalność gospodarczą nie przekraczają 20% całkowitych rocznych zasobów danego podmiotu.</w:t>
      </w:r>
    </w:p>
    <w:p w14:paraId="5EFA5E0F" w14:textId="77777777" w:rsidR="00E05D9F" w:rsidRDefault="00E05D9F">
      <w:pPr>
        <w:spacing w:line="287" w:lineRule="exact"/>
        <w:rPr>
          <w:rFonts w:ascii="Times New Roman" w:eastAsia="Times New Roman" w:hAnsi="Times New Roman"/>
        </w:rPr>
      </w:pPr>
    </w:p>
    <w:p w14:paraId="45F75FF5" w14:textId="77777777" w:rsidR="00E05D9F" w:rsidRDefault="00E05D9F">
      <w:pPr>
        <w:spacing w:line="257" w:lineRule="auto"/>
        <w:ind w:left="8"/>
        <w:jc w:val="both"/>
        <w:rPr>
          <w:sz w:val="23"/>
        </w:rPr>
      </w:pPr>
      <w:r>
        <w:rPr>
          <w:sz w:val="23"/>
        </w:rPr>
        <w:t>Zarówno z motywu (49) preambuły rozporządzenia 651/2014, jak i z punktu (20) Zasad ramowych wynika, że również w przypadku projektów, w których nie przewidziano prowadzenia działalności gospodarczej na infrastrukturze wytworzonej w ramach projektu albo przewidziano jedynie pomocniczy charakter takiej działalności, konieczne jest monitorowanie sposobu wykorzystania infrastruktury – mimo, że przywołane teksty nie wskazują wprost takiego obowiązku, jest on logiczną konsekwencją wprowadzenia określonego zakresu działalności gospodarczej warunkującego zachowanie jej pomocniczego charakteru (bez odpowiedniego monitorowania działalności nie da się ustalić, czy poziom 20% został przekroczony).</w:t>
      </w:r>
    </w:p>
    <w:p w14:paraId="3E29132B" w14:textId="77777777" w:rsidR="00E05D9F" w:rsidRDefault="00E05D9F">
      <w:pPr>
        <w:spacing w:line="267" w:lineRule="exact"/>
        <w:rPr>
          <w:rFonts w:ascii="Times New Roman" w:eastAsia="Times New Roman" w:hAnsi="Times New Roman"/>
        </w:rPr>
      </w:pPr>
    </w:p>
    <w:p w14:paraId="48D1384E" w14:textId="77777777" w:rsidR="00E05D9F" w:rsidRDefault="00E05D9F">
      <w:pPr>
        <w:spacing w:line="249" w:lineRule="auto"/>
        <w:ind w:left="8" w:right="20"/>
        <w:jc w:val="both"/>
        <w:rPr>
          <w:sz w:val="23"/>
        </w:rPr>
      </w:pPr>
      <w:r>
        <w:rPr>
          <w:sz w:val="23"/>
        </w:rPr>
        <w:t>Nie jest natomiast wymagane stosowanie mechanizmu monitorowania i wycofania, w</w:t>
      </w:r>
      <w:r w:rsidR="00511B91">
        <w:rPr>
          <w:sz w:val="23"/>
        </w:rPr>
        <w:t> </w:t>
      </w:r>
      <w:r>
        <w:rPr>
          <w:sz w:val="23"/>
        </w:rPr>
        <w:t>przypadku, gdy całość dofinansowania przekazanego na realizację projektu stanowi pomoc publiczną, tzn. gdy na etapie podpisywania umowy przewidziano wyłącznie gospodarcze wykorzystanie infrastruktury badawczej.</w:t>
      </w:r>
    </w:p>
    <w:p w14:paraId="1D69E074" w14:textId="77777777" w:rsidR="00E05D9F" w:rsidRDefault="00E05D9F">
      <w:pPr>
        <w:spacing w:line="200" w:lineRule="exact"/>
        <w:rPr>
          <w:rFonts w:ascii="Times New Roman" w:eastAsia="Times New Roman" w:hAnsi="Times New Roman"/>
        </w:rPr>
      </w:pPr>
    </w:p>
    <w:p w14:paraId="01D48D00" w14:textId="77777777" w:rsidR="00E05D9F" w:rsidRDefault="00E05D9F">
      <w:pPr>
        <w:spacing w:line="200" w:lineRule="exact"/>
        <w:rPr>
          <w:rFonts w:ascii="Times New Roman" w:eastAsia="Times New Roman" w:hAnsi="Times New Roman"/>
        </w:rPr>
      </w:pPr>
    </w:p>
    <w:p w14:paraId="5231D7B8" w14:textId="77777777" w:rsidR="00E05D9F" w:rsidRDefault="00E05D9F">
      <w:pPr>
        <w:spacing w:line="376" w:lineRule="exact"/>
        <w:rPr>
          <w:rFonts w:ascii="Times New Roman" w:eastAsia="Times New Roman" w:hAnsi="Times New Roman"/>
        </w:rPr>
      </w:pPr>
    </w:p>
    <w:p w14:paraId="5D2D99D1" w14:textId="77777777" w:rsidR="00E05D9F" w:rsidRPr="00330963" w:rsidRDefault="00E05D9F" w:rsidP="00FE1021">
      <w:pPr>
        <w:numPr>
          <w:ilvl w:val="0"/>
          <w:numId w:val="6"/>
        </w:numPr>
        <w:tabs>
          <w:tab w:val="left" w:pos="708"/>
        </w:tabs>
        <w:spacing w:line="0" w:lineRule="atLeast"/>
        <w:ind w:left="708" w:hanging="708"/>
        <w:rPr>
          <w:b/>
          <w:sz w:val="24"/>
          <w:szCs w:val="22"/>
        </w:rPr>
      </w:pPr>
      <w:r w:rsidRPr="00330963">
        <w:rPr>
          <w:b/>
          <w:sz w:val="24"/>
          <w:szCs w:val="22"/>
        </w:rPr>
        <w:t>Ogólne zasady stosowania mechanizmu monitorowania i wycofania</w:t>
      </w:r>
    </w:p>
    <w:p w14:paraId="3972CDF4" w14:textId="77777777" w:rsidR="00E05D9F" w:rsidRDefault="00E05D9F">
      <w:pPr>
        <w:spacing w:line="135" w:lineRule="exact"/>
        <w:rPr>
          <w:rFonts w:ascii="Times New Roman" w:eastAsia="Times New Roman" w:hAnsi="Times New Roman"/>
        </w:rPr>
      </w:pPr>
    </w:p>
    <w:p w14:paraId="0453DA1E" w14:textId="77777777" w:rsidR="00E05D9F" w:rsidRDefault="00E05D9F" w:rsidP="00FE1021">
      <w:pPr>
        <w:numPr>
          <w:ilvl w:val="0"/>
          <w:numId w:val="7"/>
        </w:numPr>
        <w:tabs>
          <w:tab w:val="left" w:pos="429"/>
        </w:tabs>
        <w:spacing w:line="224" w:lineRule="auto"/>
        <w:ind w:left="8" w:right="20" w:hanging="8"/>
        <w:jc w:val="both"/>
        <w:rPr>
          <w:sz w:val="23"/>
        </w:rPr>
      </w:pPr>
      <w:r>
        <w:rPr>
          <w:sz w:val="23"/>
        </w:rPr>
        <w:t>Mechanizm obejmuje infrastrukturę badawczą, na którą przyznano dofinansowanie na podstawie danej umowy o dofinansowanie projektu.</w:t>
      </w:r>
    </w:p>
    <w:p w14:paraId="1FE36786" w14:textId="77777777" w:rsidR="00E05D9F" w:rsidRDefault="00E05D9F">
      <w:pPr>
        <w:spacing w:line="287" w:lineRule="exact"/>
        <w:rPr>
          <w:rFonts w:ascii="Times New Roman" w:eastAsia="Times New Roman" w:hAnsi="Times New Roman"/>
        </w:rPr>
      </w:pPr>
    </w:p>
    <w:p w14:paraId="7207431D" w14:textId="77777777" w:rsidR="00E05D9F" w:rsidRDefault="00E05D9F">
      <w:pPr>
        <w:spacing w:line="285" w:lineRule="auto"/>
        <w:ind w:left="8"/>
        <w:jc w:val="both"/>
        <w:rPr>
          <w:sz w:val="21"/>
        </w:rPr>
      </w:pPr>
      <w:r>
        <w:rPr>
          <w:sz w:val="21"/>
        </w:rPr>
        <w:t>Oznacza to, że przedmiotem monitorowania nie można ustanowić szerszego zespołu urządzeń tworzących określoną infrastrukturę – np. całej infrastruktury badawczej wykorzystywanej w danym podmiocie, ani węższego zespołu urządzeń – np. najistotniejszego z punktu widzenia przeznaczenia infrastruktury. Co</w:t>
      </w:r>
      <w:r w:rsidR="00511B91">
        <w:rPr>
          <w:sz w:val="21"/>
        </w:rPr>
        <w:t> </w:t>
      </w:r>
      <w:r>
        <w:rPr>
          <w:sz w:val="21"/>
        </w:rPr>
        <w:t>więcej – jeśli w ramach danej infrastruktury poszczególne elementy/składniki są w różnym zakresie wykorzystywane do działalności gospodarczej i na tej podstawie objęte różnymi poziomami dofinansowania (montaż na projekcie jest wypadkową montaży na poszczególnych elementach/składnikach infrastruktury) – przedmiotem monitorowania powinien być każdy</w:t>
      </w:r>
    </w:p>
    <w:p w14:paraId="1BA69BA9" w14:textId="77777777" w:rsidR="00E05D9F" w:rsidRDefault="00E05D9F" w:rsidP="00FE1021">
      <w:pPr>
        <w:numPr>
          <w:ilvl w:val="0"/>
          <w:numId w:val="8"/>
        </w:numPr>
        <w:tabs>
          <w:tab w:val="left" w:pos="128"/>
        </w:tabs>
        <w:spacing w:line="231" w:lineRule="auto"/>
        <w:ind w:left="128" w:hanging="128"/>
        <w:rPr>
          <w:sz w:val="23"/>
        </w:rPr>
      </w:pPr>
      <w:r>
        <w:rPr>
          <w:sz w:val="23"/>
        </w:rPr>
        <w:t>elementów/składników tej infrastruktury (odrębnie dla każdego elementu).</w:t>
      </w:r>
    </w:p>
    <w:p w14:paraId="61AE5A11" w14:textId="77777777" w:rsidR="00E05D9F" w:rsidRDefault="00E05D9F">
      <w:pPr>
        <w:spacing w:line="271" w:lineRule="exact"/>
        <w:rPr>
          <w:rFonts w:ascii="Times New Roman" w:eastAsia="Times New Roman" w:hAnsi="Times New Roman"/>
        </w:rPr>
      </w:pPr>
    </w:p>
    <w:p w14:paraId="78C21670" w14:textId="77777777" w:rsidR="00E05D9F" w:rsidRDefault="00E05D9F">
      <w:pPr>
        <w:spacing w:line="249" w:lineRule="auto"/>
        <w:ind w:left="8"/>
        <w:jc w:val="both"/>
        <w:rPr>
          <w:sz w:val="23"/>
        </w:rPr>
      </w:pPr>
      <w:r>
        <w:rPr>
          <w:sz w:val="23"/>
        </w:rPr>
        <w:t xml:space="preserve">Jednocześnie, </w:t>
      </w:r>
      <w:r>
        <w:rPr>
          <w:b/>
          <w:sz w:val="23"/>
        </w:rPr>
        <w:t>jeżeli na daną infrastrukturę beneficjent otrzymuje wsparcie publiczne również z</w:t>
      </w:r>
      <w:r w:rsidR="00511B91">
        <w:rPr>
          <w:b/>
          <w:sz w:val="23"/>
        </w:rPr>
        <w:t> </w:t>
      </w:r>
      <w:r>
        <w:rPr>
          <w:b/>
          <w:sz w:val="23"/>
        </w:rPr>
        <w:t>innych źródeł, należy brać pod uwagę wszystkie źródła finansowania</w:t>
      </w:r>
      <w:r>
        <w:rPr>
          <w:sz w:val="23"/>
        </w:rPr>
        <w:t xml:space="preserve"> (dofinansowanie ze</w:t>
      </w:r>
      <w:r w:rsidR="00511B91">
        <w:rPr>
          <w:sz w:val="23"/>
        </w:rPr>
        <w:t> </w:t>
      </w:r>
      <w:r>
        <w:rPr>
          <w:sz w:val="23"/>
        </w:rPr>
        <w:t>środków</w:t>
      </w:r>
      <w:r>
        <w:rPr>
          <w:b/>
          <w:sz w:val="23"/>
        </w:rPr>
        <w:t xml:space="preserve"> </w:t>
      </w:r>
      <w:r>
        <w:rPr>
          <w:sz w:val="23"/>
        </w:rPr>
        <w:t xml:space="preserve">RPO i dotacja MNiSW lub inne środki publiczne) i zasady, na jakich wsparcie to zostało udzielone, </w:t>
      </w:r>
      <w:r>
        <w:rPr>
          <w:b/>
          <w:sz w:val="23"/>
        </w:rPr>
        <w:t>oraz włączyć je w zakres monitorowania</w:t>
      </w:r>
      <w:r>
        <w:rPr>
          <w:sz w:val="23"/>
        </w:rPr>
        <w:t>.</w:t>
      </w:r>
    </w:p>
    <w:p w14:paraId="48E3C5D7" w14:textId="77777777" w:rsidR="00E05D9F" w:rsidRDefault="00E05D9F">
      <w:pPr>
        <w:spacing w:line="276" w:lineRule="exact"/>
        <w:rPr>
          <w:rFonts w:ascii="Times New Roman" w:eastAsia="Times New Roman" w:hAnsi="Times New Roman"/>
        </w:rPr>
      </w:pPr>
    </w:p>
    <w:p w14:paraId="6529AC62" w14:textId="77777777" w:rsidR="00E05D9F" w:rsidRDefault="00E05D9F" w:rsidP="00FE1021">
      <w:pPr>
        <w:numPr>
          <w:ilvl w:val="0"/>
          <w:numId w:val="9"/>
        </w:numPr>
        <w:tabs>
          <w:tab w:val="left" w:pos="429"/>
        </w:tabs>
        <w:spacing w:line="251" w:lineRule="auto"/>
        <w:ind w:left="8" w:hanging="8"/>
        <w:jc w:val="both"/>
        <w:rPr>
          <w:sz w:val="23"/>
        </w:rPr>
      </w:pPr>
      <w:r>
        <w:rPr>
          <w:sz w:val="23"/>
        </w:rPr>
        <w:t>Monitorowanie sposobu wykorzystania infrastruktury odbywa się co najmniej przez cały okres jej amortyzacji. Oznacza to, że mechanizm monitorowania i wycofania jest niezależny od okresu trwałości. Jest to o tyle istotne, że w niektórych przypadkach okres monitorowania może sięgać nawet 40 lat (w tym kontekście istotne jest zapewnienie potencjału na poziomie instytucji zarządzającej do tych zadań i ich ciągłości).</w:t>
      </w:r>
    </w:p>
    <w:p w14:paraId="0AC71F4B" w14:textId="77777777" w:rsidR="00E05D9F" w:rsidRDefault="00E05D9F">
      <w:pPr>
        <w:spacing w:line="217" w:lineRule="exact"/>
        <w:rPr>
          <w:rFonts w:ascii="Times New Roman" w:eastAsia="Times New Roman" w:hAnsi="Times New Roman"/>
        </w:rPr>
      </w:pPr>
    </w:p>
    <w:p w14:paraId="1408451C" w14:textId="77777777" w:rsidR="00E05D9F" w:rsidRDefault="00E05D9F">
      <w:pPr>
        <w:spacing w:line="0" w:lineRule="atLeast"/>
        <w:ind w:left="368"/>
        <w:rPr>
          <w:sz w:val="23"/>
        </w:rPr>
      </w:pPr>
      <w:r>
        <w:rPr>
          <w:sz w:val="23"/>
        </w:rPr>
        <w:t>Na gruncie polskiego prawa możliwe są dwie metody dokonywania amortyzacji:</w:t>
      </w:r>
    </w:p>
    <w:p w14:paraId="1C4FF3E1" w14:textId="77777777" w:rsidR="00E05D9F" w:rsidRDefault="00E05D9F">
      <w:pPr>
        <w:spacing w:line="200" w:lineRule="exact"/>
        <w:rPr>
          <w:rFonts w:ascii="Times New Roman" w:eastAsia="Times New Roman" w:hAnsi="Times New Roman"/>
        </w:rPr>
      </w:pPr>
    </w:p>
    <w:p w14:paraId="424BB4C3" w14:textId="77777777" w:rsidR="00E05D9F" w:rsidRDefault="00E05D9F">
      <w:pPr>
        <w:spacing w:line="263" w:lineRule="exact"/>
        <w:rPr>
          <w:rFonts w:ascii="Times New Roman" w:eastAsia="Times New Roman" w:hAnsi="Times New Roman"/>
        </w:rPr>
      </w:pPr>
    </w:p>
    <w:p w14:paraId="6D627541" w14:textId="77777777" w:rsidR="00E05D9F" w:rsidRDefault="00E05D9F">
      <w:pPr>
        <w:spacing w:line="0" w:lineRule="atLeast"/>
        <w:ind w:left="8988"/>
        <w:rPr>
          <w:sz w:val="18"/>
        </w:rPr>
      </w:pPr>
      <w:r>
        <w:rPr>
          <w:sz w:val="18"/>
        </w:rPr>
        <w:t>3</w:t>
      </w:r>
    </w:p>
    <w:p w14:paraId="75392556" w14:textId="77777777" w:rsidR="00E05D9F" w:rsidRDefault="00E05D9F">
      <w:pPr>
        <w:spacing w:line="0" w:lineRule="atLeast"/>
        <w:ind w:left="8988"/>
        <w:rPr>
          <w:sz w:val="18"/>
        </w:rPr>
        <w:sectPr w:rsidR="00E05D9F" w:rsidSect="00F716F9">
          <w:pgSz w:w="11920" w:h="16845"/>
          <w:pgMar w:top="1440" w:right="1410" w:bottom="1134" w:left="1412" w:header="0" w:footer="210" w:gutter="0"/>
          <w:cols w:space="0" w:equalWidth="0">
            <w:col w:w="9088"/>
          </w:cols>
          <w:docGrid w:linePitch="360"/>
        </w:sectPr>
      </w:pPr>
    </w:p>
    <w:p w14:paraId="2C5A55A5" w14:textId="77777777" w:rsidR="00E05D9F" w:rsidRDefault="00E05D9F">
      <w:pPr>
        <w:tabs>
          <w:tab w:val="left" w:pos="1040"/>
        </w:tabs>
        <w:spacing w:line="0" w:lineRule="atLeast"/>
        <w:ind w:left="700"/>
        <w:rPr>
          <w:sz w:val="21"/>
        </w:rPr>
      </w:pPr>
      <w:bookmarkStart w:id="3" w:name="page4"/>
      <w:bookmarkEnd w:id="3"/>
      <w:r>
        <w:rPr>
          <w:sz w:val="23"/>
        </w:rPr>
        <w:lastRenderedPageBreak/>
        <w:t>a.</w:t>
      </w:r>
      <w:r>
        <w:rPr>
          <w:rFonts w:ascii="Times New Roman" w:eastAsia="Times New Roman" w:hAnsi="Times New Roman"/>
        </w:rPr>
        <w:tab/>
      </w:r>
      <w:r>
        <w:rPr>
          <w:sz w:val="21"/>
        </w:rPr>
        <w:t>amortyzacja na podstawie ustawy o rachunkowości</w:t>
      </w:r>
    </w:p>
    <w:p w14:paraId="20946918" w14:textId="77777777" w:rsidR="00E05D9F" w:rsidRDefault="00E05D9F">
      <w:pPr>
        <w:spacing w:line="286" w:lineRule="exact"/>
        <w:rPr>
          <w:rFonts w:ascii="Times New Roman" w:eastAsia="Times New Roman" w:hAnsi="Times New Roman"/>
        </w:rPr>
      </w:pPr>
    </w:p>
    <w:p w14:paraId="78908280" w14:textId="77777777" w:rsidR="00E05D9F" w:rsidRDefault="00E05D9F">
      <w:pPr>
        <w:spacing w:line="265" w:lineRule="auto"/>
        <w:ind w:left="680"/>
        <w:jc w:val="both"/>
        <w:rPr>
          <w:sz w:val="21"/>
        </w:rPr>
      </w:pPr>
      <w:r>
        <w:rPr>
          <w:sz w:val="21"/>
        </w:rPr>
        <w:t xml:space="preserve">Przy ustalaniu okresu amortyzacji i rocznej stawki amortyzacyjnej uwzględnia się okres ekonomicznej </w:t>
      </w:r>
      <w:r w:rsidR="00E012BC">
        <w:rPr>
          <w:sz w:val="21"/>
        </w:rPr>
        <w:t xml:space="preserve">  </w:t>
      </w:r>
      <w:r>
        <w:rPr>
          <w:sz w:val="21"/>
        </w:rPr>
        <w:t xml:space="preserve">użyteczności </w:t>
      </w:r>
      <w:r w:rsidR="00E012BC">
        <w:rPr>
          <w:sz w:val="21"/>
        </w:rPr>
        <w:t xml:space="preserve">  </w:t>
      </w:r>
      <w:r>
        <w:rPr>
          <w:sz w:val="21"/>
        </w:rPr>
        <w:t xml:space="preserve">środka </w:t>
      </w:r>
      <w:r w:rsidR="00E012BC">
        <w:rPr>
          <w:sz w:val="21"/>
        </w:rPr>
        <w:t xml:space="preserve">  </w:t>
      </w:r>
      <w:r>
        <w:rPr>
          <w:sz w:val="21"/>
        </w:rPr>
        <w:t>trwałego</w:t>
      </w:r>
      <w:r w:rsidR="00E012BC">
        <w:rPr>
          <w:sz w:val="21"/>
        </w:rPr>
        <w:t xml:space="preserve">  </w:t>
      </w:r>
      <w:r>
        <w:rPr>
          <w:sz w:val="21"/>
        </w:rPr>
        <w:t xml:space="preserve"> lub</w:t>
      </w:r>
      <w:r w:rsidR="00E012BC">
        <w:rPr>
          <w:sz w:val="21"/>
        </w:rPr>
        <w:t xml:space="preserve">  </w:t>
      </w:r>
      <w:r>
        <w:rPr>
          <w:sz w:val="21"/>
        </w:rPr>
        <w:t xml:space="preserve"> wartości</w:t>
      </w:r>
      <w:r w:rsidR="00E012BC">
        <w:rPr>
          <w:sz w:val="21"/>
        </w:rPr>
        <w:t xml:space="preserve">  </w:t>
      </w:r>
      <w:r>
        <w:rPr>
          <w:sz w:val="21"/>
        </w:rPr>
        <w:t xml:space="preserve"> niematerialnej</w:t>
      </w:r>
      <w:r w:rsidR="00E012BC">
        <w:rPr>
          <w:sz w:val="21"/>
        </w:rPr>
        <w:t xml:space="preserve">  </w:t>
      </w:r>
      <w:r>
        <w:rPr>
          <w:sz w:val="21"/>
        </w:rPr>
        <w:t xml:space="preserve"> i prawnej, tj. czas,</w:t>
      </w:r>
    </w:p>
    <w:p w14:paraId="5AEB5EF6" w14:textId="77777777" w:rsidR="00E05D9F" w:rsidRDefault="00E05D9F">
      <w:pPr>
        <w:spacing w:line="64" w:lineRule="exact"/>
        <w:rPr>
          <w:rFonts w:ascii="Times New Roman" w:eastAsia="Times New Roman" w:hAnsi="Times New Roman"/>
        </w:rPr>
      </w:pPr>
    </w:p>
    <w:p w14:paraId="12A6E3F4" w14:textId="77777777" w:rsidR="00E05D9F" w:rsidRDefault="00E05D9F" w:rsidP="00FE1021">
      <w:pPr>
        <w:numPr>
          <w:ilvl w:val="0"/>
          <w:numId w:val="10"/>
        </w:numPr>
        <w:tabs>
          <w:tab w:val="left" w:pos="891"/>
        </w:tabs>
        <w:spacing w:line="224" w:lineRule="auto"/>
        <w:ind w:left="680" w:hanging="3"/>
        <w:rPr>
          <w:sz w:val="23"/>
        </w:rPr>
      </w:pPr>
      <w:r>
        <w:rPr>
          <w:sz w:val="23"/>
        </w:rPr>
        <w:t>którym według oczekiwań będą one użytkowane przez jednostkę i z tego tytułu będzie ona osiągała korzyści ekonomiczne.</w:t>
      </w:r>
    </w:p>
    <w:p w14:paraId="2783C04A" w14:textId="77777777" w:rsidR="00E05D9F" w:rsidRDefault="00E05D9F">
      <w:pPr>
        <w:spacing w:line="287" w:lineRule="exact"/>
        <w:rPr>
          <w:rFonts w:ascii="Times New Roman" w:eastAsia="Times New Roman" w:hAnsi="Times New Roman"/>
        </w:rPr>
      </w:pPr>
    </w:p>
    <w:p w14:paraId="047496A7" w14:textId="77777777" w:rsidR="00E05D9F" w:rsidRDefault="00E05D9F">
      <w:pPr>
        <w:spacing w:line="254" w:lineRule="auto"/>
        <w:ind w:left="680"/>
        <w:jc w:val="both"/>
        <w:rPr>
          <w:sz w:val="23"/>
        </w:rPr>
      </w:pPr>
      <w:r>
        <w:rPr>
          <w:sz w:val="23"/>
        </w:rPr>
        <w:t>Ustawa o rachunkowości nie określa wysokości stawek amortyzacyjnych oraz długości okresu amortyzacji, wymaga jedynie, by przy ich ustalaniu uwzględnić okres ekonomicznej użyteczności - istotne jest, by amortyzacja w sposób realny odzwierciedlała stopniowe zużywanie się majątku trwałego jednostki w czasie. Wybrany sposób amortyzacji nie może być zmieniony i musi być stosowany w sposób konsekwentny przez cały okres używania środka trwałego.</w:t>
      </w:r>
    </w:p>
    <w:p w14:paraId="07C427E3" w14:textId="77777777" w:rsidR="00E05D9F" w:rsidRDefault="00E05D9F">
      <w:pPr>
        <w:spacing w:line="274" w:lineRule="exact"/>
        <w:rPr>
          <w:rFonts w:ascii="Times New Roman" w:eastAsia="Times New Roman" w:hAnsi="Times New Roman"/>
        </w:rPr>
      </w:pPr>
    </w:p>
    <w:p w14:paraId="0B3AF12E" w14:textId="77777777" w:rsidR="00E05D9F" w:rsidRDefault="00E05D9F" w:rsidP="00FE1021">
      <w:pPr>
        <w:numPr>
          <w:ilvl w:val="0"/>
          <w:numId w:val="11"/>
        </w:numPr>
        <w:tabs>
          <w:tab w:val="left" w:pos="1060"/>
        </w:tabs>
        <w:spacing w:line="230" w:lineRule="auto"/>
        <w:ind w:left="1060" w:hanging="368"/>
        <w:rPr>
          <w:sz w:val="23"/>
        </w:rPr>
      </w:pPr>
      <w:r>
        <w:rPr>
          <w:sz w:val="23"/>
        </w:rPr>
        <w:t>amortyzacja na podstawie ustawy o podatku dochodowym od osób fizycznych i ustawy o podatku dochodowym od osób prawnych</w:t>
      </w:r>
    </w:p>
    <w:p w14:paraId="6F4330A6" w14:textId="77777777" w:rsidR="00E05D9F" w:rsidRDefault="00E05D9F">
      <w:pPr>
        <w:spacing w:line="273" w:lineRule="exact"/>
        <w:rPr>
          <w:rFonts w:ascii="Times New Roman" w:eastAsia="Times New Roman" w:hAnsi="Times New Roman"/>
        </w:rPr>
      </w:pPr>
    </w:p>
    <w:p w14:paraId="7FAE4052" w14:textId="77777777" w:rsidR="00E05D9F" w:rsidRDefault="00E05D9F">
      <w:pPr>
        <w:spacing w:line="258" w:lineRule="auto"/>
        <w:ind w:left="680"/>
        <w:jc w:val="both"/>
        <w:rPr>
          <w:sz w:val="23"/>
        </w:rPr>
      </w:pPr>
      <w:r>
        <w:rPr>
          <w:sz w:val="23"/>
        </w:rPr>
        <w:t>W odróżnieniu od ustawy o rachunkowości, przepisy o podatku dochodowym regulują szczegółowo zasady amortyzacji. Nie posługują się one koncepcją przewidywanego okresu ekonomicznej użyteczności. W załącznikach do ustaw podatkowych określono procentową, roczną stawkę amortyzacji dla poszczególnych grup środków trwałych. Odpisów amortyzacyjnych dokonuje się z zastosowaniem stawek przewidzianych w tych wykazach oraz określonych metod dla poszczególnych składników aktywów, dla zakupów powyżej 10.000 zł. Dla celów podatkowych (podobnie jak rachunkowych), raz przyjęta metoda amortyzacji nie może być zmieniana. Powinna być stosowana w sposób ciągły do</w:t>
      </w:r>
      <w:r w:rsidR="00E012BC">
        <w:rPr>
          <w:sz w:val="23"/>
        </w:rPr>
        <w:t> </w:t>
      </w:r>
      <w:r>
        <w:rPr>
          <w:sz w:val="23"/>
        </w:rPr>
        <w:t>pełnego zamortyzowania danego środka trwałego.</w:t>
      </w:r>
    </w:p>
    <w:p w14:paraId="5AE678E8" w14:textId="77777777" w:rsidR="00E05D9F" w:rsidRDefault="00E05D9F">
      <w:pPr>
        <w:spacing w:line="271" w:lineRule="exact"/>
        <w:rPr>
          <w:rFonts w:ascii="Times New Roman" w:eastAsia="Times New Roman" w:hAnsi="Times New Roman"/>
        </w:rPr>
      </w:pPr>
    </w:p>
    <w:p w14:paraId="56B94481" w14:textId="77777777" w:rsidR="00E05D9F" w:rsidRDefault="00E05D9F">
      <w:pPr>
        <w:spacing w:line="286" w:lineRule="auto"/>
        <w:ind w:left="340"/>
        <w:jc w:val="both"/>
        <w:rPr>
          <w:sz w:val="21"/>
        </w:rPr>
      </w:pPr>
      <w:r>
        <w:rPr>
          <w:sz w:val="21"/>
        </w:rPr>
        <w:t>Zgodnie ze stanowiskiem KE, przy ustalaniu okresu amortyzacji należy brać pod uwagę ekonomiczną użyteczność środka trwałego, co oznacza podejście zgodne z przyjętym w ustawie o rachunkowości. Zgodnie z ww. zasadą, jednostki dokonują wyboru okresu dla każdego środka trwałego osobno. Równocześnie za dopuszczalne należy uznać również wyznaczenie okresu amortyzacji na podstawie stawek amortyzacyjnych stosowanych w przepisach podatkowych. Niezależnie od przyjętej metody określenia okresu amortyzacji, trzeba mieć na względzie obowiązek posługiwania się międzynarodowo uznanymi standardami i metodami dopuszczonymi przez przepisy bilansowe czy podatkowe, zatem nie jest dopuszczalne swobodne określenie okresu amortyzacji w oparciu o niestosowaną powszechnie metodykę.</w:t>
      </w:r>
    </w:p>
    <w:p w14:paraId="1C85FC1B" w14:textId="77777777" w:rsidR="00E05D9F" w:rsidRDefault="00E05D9F">
      <w:pPr>
        <w:spacing w:line="238" w:lineRule="exact"/>
        <w:rPr>
          <w:rFonts w:ascii="Times New Roman" w:eastAsia="Times New Roman" w:hAnsi="Times New Roman"/>
        </w:rPr>
      </w:pPr>
    </w:p>
    <w:p w14:paraId="5B255938" w14:textId="77777777" w:rsidR="00E05D9F" w:rsidRDefault="00E05D9F">
      <w:pPr>
        <w:spacing w:line="284" w:lineRule="auto"/>
        <w:ind w:left="340"/>
        <w:jc w:val="both"/>
        <w:rPr>
          <w:sz w:val="21"/>
        </w:rPr>
      </w:pPr>
      <w:r>
        <w:rPr>
          <w:sz w:val="21"/>
        </w:rPr>
        <w:t>Jednocześnie 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 Rozwiązanie takie nie powinno być jednak narzucane przez instytucję, jako nakładające na</w:t>
      </w:r>
      <w:r w:rsidR="00E012BC">
        <w:rPr>
          <w:sz w:val="21"/>
        </w:rPr>
        <w:t> </w:t>
      </w:r>
      <w:r>
        <w:rPr>
          <w:sz w:val="21"/>
        </w:rPr>
        <w:t>beneficjenta nieuzasadnione obciążenia.</w:t>
      </w:r>
    </w:p>
    <w:p w14:paraId="42DCA923" w14:textId="77777777" w:rsidR="00E05D9F" w:rsidRDefault="00E05D9F">
      <w:pPr>
        <w:spacing w:line="226" w:lineRule="auto"/>
        <w:ind w:left="8960"/>
        <w:rPr>
          <w:sz w:val="18"/>
        </w:rPr>
      </w:pPr>
      <w:r>
        <w:rPr>
          <w:sz w:val="18"/>
        </w:rPr>
        <w:t>4</w:t>
      </w:r>
    </w:p>
    <w:p w14:paraId="26517DDB" w14:textId="77777777" w:rsidR="00E05D9F" w:rsidRDefault="00E05D9F">
      <w:pPr>
        <w:spacing w:line="226" w:lineRule="auto"/>
        <w:ind w:left="8960"/>
        <w:rPr>
          <w:sz w:val="18"/>
        </w:rPr>
        <w:sectPr w:rsidR="00E05D9F" w:rsidSect="00F716F9">
          <w:pgSz w:w="11920" w:h="16845"/>
          <w:pgMar w:top="1396" w:right="1410" w:bottom="1276" w:left="1440" w:header="0" w:footer="68" w:gutter="0"/>
          <w:cols w:space="0" w:equalWidth="0">
            <w:col w:w="9060"/>
          </w:cols>
          <w:docGrid w:linePitch="360"/>
        </w:sectPr>
      </w:pPr>
    </w:p>
    <w:p w14:paraId="1F5601BE" w14:textId="77777777" w:rsidR="00E05D9F" w:rsidRDefault="00E05D9F">
      <w:pPr>
        <w:spacing w:line="13" w:lineRule="exact"/>
        <w:rPr>
          <w:rFonts w:ascii="Times New Roman" w:eastAsia="Times New Roman" w:hAnsi="Times New Roman"/>
        </w:rPr>
      </w:pPr>
      <w:bookmarkStart w:id="4" w:name="page5"/>
      <w:bookmarkEnd w:id="4"/>
    </w:p>
    <w:p w14:paraId="418D9EEE" w14:textId="77777777" w:rsidR="00E05D9F" w:rsidRDefault="00E05D9F">
      <w:pPr>
        <w:spacing w:line="230" w:lineRule="auto"/>
        <w:ind w:left="368" w:right="240"/>
        <w:jc w:val="both"/>
        <w:rPr>
          <w:sz w:val="23"/>
        </w:rPr>
      </w:pPr>
      <w:r>
        <w:rPr>
          <w:sz w:val="23"/>
        </w:rPr>
        <w:t>Beneficjent powinien mieć możliwość dokonania wyboru w tym zakresie, kierując się tym, która metoda jest najbardziej uzasadniona ze względu na specyfikę</w:t>
      </w:r>
      <w:r>
        <w:rPr>
          <w:sz w:val="27"/>
          <w:vertAlign w:val="superscript"/>
        </w:rPr>
        <w:t>5</w:t>
      </w:r>
      <w:r>
        <w:rPr>
          <w:sz w:val="23"/>
        </w:rPr>
        <w:t xml:space="preserve"> danej infrastruktury i jej poszczególnych elementów.</w:t>
      </w:r>
    </w:p>
    <w:p w14:paraId="7116E02F" w14:textId="77777777" w:rsidR="00E05D9F" w:rsidRDefault="00E05D9F">
      <w:pPr>
        <w:spacing w:line="287" w:lineRule="exact"/>
        <w:rPr>
          <w:rFonts w:ascii="Times New Roman" w:eastAsia="Times New Roman" w:hAnsi="Times New Roman"/>
        </w:rPr>
      </w:pPr>
    </w:p>
    <w:p w14:paraId="15A34F1B" w14:textId="77777777" w:rsidR="00E05D9F" w:rsidRDefault="00E05D9F">
      <w:pPr>
        <w:spacing w:line="224" w:lineRule="auto"/>
        <w:ind w:left="8" w:right="240"/>
        <w:rPr>
          <w:sz w:val="23"/>
        </w:rPr>
      </w:pPr>
      <w:r>
        <w:rPr>
          <w:b/>
          <w:sz w:val="23"/>
        </w:rPr>
        <w:t>Należy mieć na uwadze, że konsekwencją powyższego jest konieczność stosowania wybranej metody w zakresie całego mechanizmu monitorowania i wycofania</w:t>
      </w:r>
      <w:r>
        <w:rPr>
          <w:sz w:val="23"/>
        </w:rPr>
        <w:t>.</w:t>
      </w:r>
    </w:p>
    <w:p w14:paraId="351E852B" w14:textId="77777777" w:rsidR="00E05D9F" w:rsidRDefault="00E05D9F">
      <w:pPr>
        <w:spacing w:line="230" w:lineRule="exact"/>
        <w:rPr>
          <w:rFonts w:ascii="Times New Roman" w:eastAsia="Times New Roman" w:hAnsi="Times New Roman"/>
        </w:rPr>
      </w:pPr>
    </w:p>
    <w:p w14:paraId="6EE78B99" w14:textId="77777777" w:rsidR="00E05D9F" w:rsidRDefault="00E05D9F" w:rsidP="00FE1021">
      <w:pPr>
        <w:numPr>
          <w:ilvl w:val="0"/>
          <w:numId w:val="12"/>
        </w:numPr>
        <w:tabs>
          <w:tab w:val="left" w:pos="428"/>
        </w:tabs>
        <w:spacing w:line="0" w:lineRule="atLeast"/>
        <w:ind w:left="428" w:hanging="428"/>
        <w:rPr>
          <w:sz w:val="23"/>
        </w:rPr>
      </w:pPr>
      <w:r>
        <w:rPr>
          <w:sz w:val="23"/>
        </w:rPr>
        <w:t>Monitorowanie sposobu wykorzystania infrastruktury odbywa się w cyklach rocznych.</w:t>
      </w:r>
    </w:p>
    <w:p w14:paraId="43E369A3" w14:textId="77777777" w:rsidR="00E05D9F" w:rsidRDefault="00E05D9F">
      <w:pPr>
        <w:spacing w:line="286" w:lineRule="exact"/>
        <w:rPr>
          <w:rFonts w:ascii="Times New Roman" w:eastAsia="Times New Roman" w:hAnsi="Times New Roman"/>
        </w:rPr>
      </w:pPr>
    </w:p>
    <w:p w14:paraId="06587234" w14:textId="77777777" w:rsidR="00E05D9F" w:rsidRDefault="00E05D9F">
      <w:pPr>
        <w:spacing w:line="286" w:lineRule="auto"/>
        <w:ind w:left="368" w:right="220"/>
        <w:jc w:val="both"/>
        <w:rPr>
          <w:sz w:val="21"/>
        </w:rPr>
      </w:pPr>
      <w:r>
        <w:rPr>
          <w:sz w:val="21"/>
        </w:rPr>
        <w:t>Oznacza to, że nie można ustanowić innych okresów odniesienia, w których będzie monitorowany sposób wykorzystania infrastruktury. Niedopuszczalne jest w szczególności ustanowienie mechanizmu, zgodnie z którym zakres działalności gospodarczej prowadzonej na dofinansowanej infrastrukturze badawczej będzie określony raz, na koniec okresu amortyzacji infrastruktury, poprzez podanie średniorocznego zakresu takiej działalności (oznacza to, że np. w przypadku dziesięcioletniego okresu amortyzacji, jeśli w piątym i szóstym roku monitorowania działalność gospodarcza przekroczyła dopuszczalny dla działalności pomocniczej poziom wykorzystania gospodarczego infrastruktury, to nie ma możliwości określenia średniorocznego gospodarczego wykorzystania infrastruktury na poziomie 18,7%, ale w obu tych latach mamy do czynienia z</w:t>
      </w:r>
      <w:r w:rsidR="00466A63">
        <w:rPr>
          <w:sz w:val="21"/>
        </w:rPr>
        <w:t> </w:t>
      </w:r>
      <w:r>
        <w:rPr>
          <w:sz w:val="21"/>
        </w:rPr>
        <w:t>przekroczeniem dopuszczalnego limitu działalności pomocniczej i konieczne będzie wycofanie odpowiedniej kwoty finansowania publicznego.</w:t>
      </w:r>
    </w:p>
    <w:p w14:paraId="0A21DC28" w14:textId="77777777" w:rsidR="00E05D9F" w:rsidRDefault="00E05D9F">
      <w:pPr>
        <w:spacing w:line="200" w:lineRule="exact"/>
        <w:rPr>
          <w:rFonts w:ascii="Times New Roman" w:eastAsia="Times New Roman" w:hAnsi="Times New Roman"/>
        </w:rPr>
      </w:pPr>
    </w:p>
    <w:p w14:paraId="5007A4E6" w14:textId="77777777" w:rsidR="00E05D9F" w:rsidRDefault="00E05D9F">
      <w:pPr>
        <w:spacing w:line="313" w:lineRule="exact"/>
        <w:rPr>
          <w:rFonts w:ascii="Times New Roman" w:eastAsia="Times New Roman" w:hAnsi="Times New Roman"/>
        </w:rPr>
      </w:pPr>
    </w:p>
    <w:p w14:paraId="504DF880" w14:textId="77777777" w:rsidR="00E05D9F" w:rsidRDefault="00E05D9F">
      <w:pPr>
        <w:spacing w:line="211" w:lineRule="auto"/>
        <w:ind w:left="368" w:right="240"/>
        <w:rPr>
          <w:sz w:val="23"/>
        </w:rPr>
      </w:pPr>
      <w:r>
        <w:rPr>
          <w:sz w:val="23"/>
        </w:rPr>
        <w:t>Tablica 1. Nieprawidłowy sposób wyliczenia średniorocznego wskaźnika wydajności infrastruktury wykorzystywanej na cele gospodarcze.</w:t>
      </w:r>
    </w:p>
    <w:p w14:paraId="5A432462" w14:textId="77777777" w:rsidR="00E05D9F" w:rsidRDefault="00E05D9F">
      <w:pPr>
        <w:spacing w:line="1" w:lineRule="exact"/>
        <w:rPr>
          <w:rFonts w:ascii="Times New Roman" w:eastAsia="Times New Roman" w:hAnsi="Times New Roman"/>
        </w:rPr>
      </w:pPr>
    </w:p>
    <w:tbl>
      <w:tblPr>
        <w:tblW w:w="0" w:type="auto"/>
        <w:tblInd w:w="58" w:type="dxa"/>
        <w:tblLayout w:type="fixed"/>
        <w:tblCellMar>
          <w:left w:w="0" w:type="dxa"/>
          <w:right w:w="0" w:type="dxa"/>
        </w:tblCellMar>
        <w:tblLook w:val="0000" w:firstRow="0" w:lastRow="0" w:firstColumn="0" w:lastColumn="0" w:noHBand="0" w:noVBand="0"/>
      </w:tblPr>
      <w:tblGrid>
        <w:gridCol w:w="1860"/>
        <w:gridCol w:w="600"/>
        <w:gridCol w:w="600"/>
        <w:gridCol w:w="600"/>
        <w:gridCol w:w="600"/>
        <w:gridCol w:w="600"/>
        <w:gridCol w:w="600"/>
        <w:gridCol w:w="600"/>
        <w:gridCol w:w="620"/>
        <w:gridCol w:w="600"/>
        <w:gridCol w:w="600"/>
        <w:gridCol w:w="1400"/>
      </w:tblGrid>
      <w:tr w:rsidR="00E05D9F" w14:paraId="521943C9" w14:textId="77777777">
        <w:trPr>
          <w:trHeight w:val="257"/>
        </w:trPr>
        <w:tc>
          <w:tcPr>
            <w:tcW w:w="1860" w:type="dxa"/>
            <w:tcBorders>
              <w:top w:val="single" w:sz="8" w:space="0" w:color="auto"/>
              <w:left w:val="single" w:sz="8" w:space="0" w:color="auto"/>
              <w:right w:val="single" w:sz="8" w:space="0" w:color="auto"/>
            </w:tcBorders>
            <w:shd w:val="clear" w:color="auto" w:fill="auto"/>
            <w:vAlign w:val="bottom"/>
          </w:tcPr>
          <w:p w14:paraId="5CD7B44B" w14:textId="77777777" w:rsidR="00E05D9F" w:rsidRDefault="00E05D9F">
            <w:pPr>
              <w:spacing w:line="0" w:lineRule="atLeast"/>
              <w:ind w:left="80"/>
              <w:rPr>
                <w:b/>
              </w:rPr>
            </w:pPr>
            <w:r>
              <w:rPr>
                <w:b/>
              </w:rPr>
              <w:t>Okres użytkowania</w:t>
            </w:r>
          </w:p>
        </w:tc>
        <w:tc>
          <w:tcPr>
            <w:tcW w:w="600" w:type="dxa"/>
            <w:tcBorders>
              <w:top w:val="single" w:sz="8" w:space="0" w:color="auto"/>
              <w:right w:val="single" w:sz="8" w:space="0" w:color="auto"/>
            </w:tcBorders>
            <w:shd w:val="clear" w:color="auto" w:fill="auto"/>
            <w:vAlign w:val="bottom"/>
          </w:tcPr>
          <w:p w14:paraId="5A2C8247" w14:textId="77777777" w:rsidR="00E05D9F" w:rsidRDefault="00E05D9F">
            <w:pPr>
              <w:spacing w:line="0" w:lineRule="atLeast"/>
              <w:rPr>
                <w:rFonts w:ascii="Times New Roman" w:eastAsia="Times New Roman" w:hAnsi="Times New Roman"/>
                <w:sz w:val="22"/>
              </w:rPr>
            </w:pPr>
          </w:p>
        </w:tc>
        <w:tc>
          <w:tcPr>
            <w:tcW w:w="600" w:type="dxa"/>
            <w:tcBorders>
              <w:top w:val="single" w:sz="8" w:space="0" w:color="auto"/>
              <w:right w:val="single" w:sz="8" w:space="0" w:color="auto"/>
            </w:tcBorders>
            <w:shd w:val="clear" w:color="auto" w:fill="auto"/>
            <w:vAlign w:val="bottom"/>
          </w:tcPr>
          <w:p w14:paraId="788EC03F" w14:textId="77777777" w:rsidR="00E05D9F" w:rsidRDefault="00E05D9F">
            <w:pPr>
              <w:spacing w:line="0" w:lineRule="atLeast"/>
              <w:rPr>
                <w:rFonts w:ascii="Times New Roman" w:eastAsia="Times New Roman" w:hAnsi="Times New Roman"/>
                <w:sz w:val="22"/>
              </w:rPr>
            </w:pPr>
          </w:p>
        </w:tc>
        <w:tc>
          <w:tcPr>
            <w:tcW w:w="600" w:type="dxa"/>
            <w:tcBorders>
              <w:top w:val="single" w:sz="8" w:space="0" w:color="auto"/>
              <w:right w:val="single" w:sz="8" w:space="0" w:color="auto"/>
            </w:tcBorders>
            <w:shd w:val="clear" w:color="auto" w:fill="auto"/>
            <w:vAlign w:val="bottom"/>
          </w:tcPr>
          <w:p w14:paraId="177224A7" w14:textId="77777777" w:rsidR="00E05D9F" w:rsidRDefault="00E05D9F">
            <w:pPr>
              <w:spacing w:line="0" w:lineRule="atLeast"/>
              <w:rPr>
                <w:rFonts w:ascii="Times New Roman" w:eastAsia="Times New Roman" w:hAnsi="Times New Roman"/>
                <w:sz w:val="22"/>
              </w:rPr>
            </w:pPr>
          </w:p>
        </w:tc>
        <w:tc>
          <w:tcPr>
            <w:tcW w:w="600" w:type="dxa"/>
            <w:tcBorders>
              <w:top w:val="single" w:sz="8" w:space="0" w:color="auto"/>
              <w:right w:val="single" w:sz="8" w:space="0" w:color="auto"/>
            </w:tcBorders>
            <w:shd w:val="clear" w:color="auto" w:fill="auto"/>
            <w:vAlign w:val="bottom"/>
          </w:tcPr>
          <w:p w14:paraId="10F4E693" w14:textId="77777777" w:rsidR="00E05D9F" w:rsidRDefault="00E05D9F">
            <w:pPr>
              <w:spacing w:line="0" w:lineRule="atLeast"/>
              <w:rPr>
                <w:rFonts w:ascii="Times New Roman" w:eastAsia="Times New Roman" w:hAnsi="Times New Roman"/>
                <w:sz w:val="22"/>
              </w:rPr>
            </w:pPr>
          </w:p>
        </w:tc>
        <w:tc>
          <w:tcPr>
            <w:tcW w:w="600" w:type="dxa"/>
            <w:tcBorders>
              <w:top w:val="single" w:sz="8" w:space="0" w:color="auto"/>
              <w:right w:val="single" w:sz="8" w:space="0" w:color="auto"/>
            </w:tcBorders>
            <w:shd w:val="clear" w:color="auto" w:fill="auto"/>
            <w:vAlign w:val="bottom"/>
          </w:tcPr>
          <w:p w14:paraId="1E3E48F5" w14:textId="77777777" w:rsidR="00E05D9F" w:rsidRDefault="00E05D9F">
            <w:pPr>
              <w:spacing w:line="0" w:lineRule="atLeast"/>
              <w:rPr>
                <w:rFonts w:ascii="Times New Roman" w:eastAsia="Times New Roman" w:hAnsi="Times New Roman"/>
                <w:sz w:val="22"/>
              </w:rPr>
            </w:pPr>
          </w:p>
        </w:tc>
        <w:tc>
          <w:tcPr>
            <w:tcW w:w="600" w:type="dxa"/>
            <w:tcBorders>
              <w:top w:val="single" w:sz="8" w:space="0" w:color="auto"/>
              <w:right w:val="single" w:sz="8" w:space="0" w:color="auto"/>
            </w:tcBorders>
            <w:shd w:val="clear" w:color="auto" w:fill="auto"/>
            <w:vAlign w:val="bottom"/>
          </w:tcPr>
          <w:p w14:paraId="56819148" w14:textId="77777777" w:rsidR="00E05D9F" w:rsidRDefault="00E05D9F">
            <w:pPr>
              <w:spacing w:line="0" w:lineRule="atLeast"/>
              <w:rPr>
                <w:rFonts w:ascii="Times New Roman" w:eastAsia="Times New Roman" w:hAnsi="Times New Roman"/>
                <w:sz w:val="22"/>
              </w:rPr>
            </w:pPr>
          </w:p>
        </w:tc>
        <w:tc>
          <w:tcPr>
            <w:tcW w:w="600" w:type="dxa"/>
            <w:tcBorders>
              <w:top w:val="single" w:sz="8" w:space="0" w:color="auto"/>
              <w:right w:val="single" w:sz="8" w:space="0" w:color="auto"/>
            </w:tcBorders>
            <w:shd w:val="clear" w:color="auto" w:fill="auto"/>
            <w:vAlign w:val="bottom"/>
          </w:tcPr>
          <w:p w14:paraId="43AF4C6D" w14:textId="77777777" w:rsidR="00E05D9F" w:rsidRDefault="00E05D9F">
            <w:pPr>
              <w:spacing w:line="0" w:lineRule="atLeast"/>
              <w:rPr>
                <w:rFonts w:ascii="Times New Roman" w:eastAsia="Times New Roman" w:hAnsi="Times New Roman"/>
                <w:sz w:val="22"/>
              </w:rPr>
            </w:pPr>
          </w:p>
        </w:tc>
        <w:tc>
          <w:tcPr>
            <w:tcW w:w="620" w:type="dxa"/>
            <w:tcBorders>
              <w:top w:val="single" w:sz="8" w:space="0" w:color="auto"/>
              <w:right w:val="single" w:sz="8" w:space="0" w:color="auto"/>
            </w:tcBorders>
            <w:shd w:val="clear" w:color="auto" w:fill="auto"/>
            <w:vAlign w:val="bottom"/>
          </w:tcPr>
          <w:p w14:paraId="3713C033" w14:textId="77777777" w:rsidR="00E05D9F" w:rsidRDefault="00E05D9F">
            <w:pPr>
              <w:spacing w:line="0" w:lineRule="atLeast"/>
              <w:rPr>
                <w:rFonts w:ascii="Times New Roman" w:eastAsia="Times New Roman" w:hAnsi="Times New Roman"/>
                <w:sz w:val="22"/>
              </w:rPr>
            </w:pPr>
          </w:p>
        </w:tc>
        <w:tc>
          <w:tcPr>
            <w:tcW w:w="600" w:type="dxa"/>
            <w:tcBorders>
              <w:top w:val="single" w:sz="8" w:space="0" w:color="auto"/>
              <w:right w:val="single" w:sz="8" w:space="0" w:color="auto"/>
            </w:tcBorders>
            <w:shd w:val="clear" w:color="auto" w:fill="auto"/>
            <w:vAlign w:val="bottom"/>
          </w:tcPr>
          <w:p w14:paraId="0BC12CC3" w14:textId="77777777" w:rsidR="00E05D9F" w:rsidRDefault="00E05D9F">
            <w:pPr>
              <w:spacing w:line="0" w:lineRule="atLeast"/>
              <w:rPr>
                <w:rFonts w:ascii="Times New Roman" w:eastAsia="Times New Roman" w:hAnsi="Times New Roman"/>
                <w:sz w:val="22"/>
              </w:rPr>
            </w:pPr>
          </w:p>
        </w:tc>
        <w:tc>
          <w:tcPr>
            <w:tcW w:w="600" w:type="dxa"/>
            <w:tcBorders>
              <w:top w:val="single" w:sz="8" w:space="0" w:color="auto"/>
              <w:right w:val="single" w:sz="8" w:space="0" w:color="auto"/>
            </w:tcBorders>
            <w:shd w:val="clear" w:color="auto" w:fill="auto"/>
            <w:vAlign w:val="bottom"/>
          </w:tcPr>
          <w:p w14:paraId="0CDEEC37" w14:textId="77777777" w:rsidR="00E05D9F" w:rsidRDefault="00E05D9F">
            <w:pPr>
              <w:spacing w:line="0" w:lineRule="atLeast"/>
              <w:rPr>
                <w:rFonts w:ascii="Times New Roman" w:eastAsia="Times New Roman" w:hAnsi="Times New Roman"/>
                <w:sz w:val="22"/>
              </w:rPr>
            </w:pPr>
          </w:p>
        </w:tc>
        <w:tc>
          <w:tcPr>
            <w:tcW w:w="1400" w:type="dxa"/>
            <w:tcBorders>
              <w:top w:val="single" w:sz="8" w:space="0" w:color="auto"/>
              <w:right w:val="single" w:sz="8" w:space="0" w:color="auto"/>
            </w:tcBorders>
            <w:shd w:val="clear" w:color="auto" w:fill="auto"/>
            <w:vAlign w:val="bottom"/>
          </w:tcPr>
          <w:p w14:paraId="5F18B65F" w14:textId="77777777" w:rsidR="00E05D9F" w:rsidRDefault="00E05D9F">
            <w:pPr>
              <w:spacing w:line="0" w:lineRule="atLeast"/>
              <w:rPr>
                <w:rFonts w:ascii="Times New Roman" w:eastAsia="Times New Roman" w:hAnsi="Times New Roman"/>
                <w:sz w:val="22"/>
              </w:rPr>
            </w:pPr>
          </w:p>
        </w:tc>
      </w:tr>
      <w:tr w:rsidR="00E05D9F" w14:paraId="58D0FBA2" w14:textId="77777777">
        <w:trPr>
          <w:trHeight w:val="241"/>
        </w:trPr>
        <w:tc>
          <w:tcPr>
            <w:tcW w:w="1860" w:type="dxa"/>
            <w:tcBorders>
              <w:left w:val="single" w:sz="8" w:space="0" w:color="auto"/>
              <w:right w:val="single" w:sz="8" w:space="0" w:color="auto"/>
            </w:tcBorders>
            <w:shd w:val="clear" w:color="auto" w:fill="auto"/>
            <w:vAlign w:val="bottom"/>
          </w:tcPr>
          <w:p w14:paraId="2E4A57BA" w14:textId="77777777" w:rsidR="00E05D9F" w:rsidRDefault="00E05D9F">
            <w:pPr>
              <w:spacing w:line="241" w:lineRule="exact"/>
              <w:ind w:left="80"/>
              <w:rPr>
                <w:b/>
              </w:rPr>
            </w:pPr>
            <w:r>
              <w:rPr>
                <w:b/>
              </w:rPr>
              <w:t>dofinansowanej</w:t>
            </w:r>
          </w:p>
        </w:tc>
        <w:tc>
          <w:tcPr>
            <w:tcW w:w="600" w:type="dxa"/>
            <w:vMerge w:val="restart"/>
            <w:tcBorders>
              <w:right w:val="single" w:sz="8" w:space="0" w:color="auto"/>
            </w:tcBorders>
            <w:shd w:val="clear" w:color="auto" w:fill="auto"/>
            <w:vAlign w:val="bottom"/>
          </w:tcPr>
          <w:p w14:paraId="75144F03" w14:textId="77777777" w:rsidR="00E05D9F" w:rsidRDefault="00E05D9F">
            <w:pPr>
              <w:spacing w:line="0" w:lineRule="atLeast"/>
              <w:ind w:right="143"/>
              <w:jc w:val="right"/>
              <w:rPr>
                <w:b/>
              </w:rPr>
            </w:pPr>
            <w:r>
              <w:rPr>
                <w:b/>
              </w:rPr>
              <w:t>1</w:t>
            </w:r>
          </w:p>
        </w:tc>
        <w:tc>
          <w:tcPr>
            <w:tcW w:w="600" w:type="dxa"/>
            <w:vMerge w:val="restart"/>
            <w:tcBorders>
              <w:right w:val="single" w:sz="8" w:space="0" w:color="auto"/>
            </w:tcBorders>
            <w:shd w:val="clear" w:color="auto" w:fill="auto"/>
            <w:vAlign w:val="bottom"/>
          </w:tcPr>
          <w:p w14:paraId="27281B21" w14:textId="77777777" w:rsidR="00E05D9F" w:rsidRDefault="00E05D9F">
            <w:pPr>
              <w:spacing w:line="0" w:lineRule="atLeast"/>
              <w:ind w:right="143"/>
              <w:jc w:val="right"/>
              <w:rPr>
                <w:b/>
              </w:rPr>
            </w:pPr>
            <w:r>
              <w:rPr>
                <w:b/>
              </w:rPr>
              <w:t>2</w:t>
            </w:r>
          </w:p>
        </w:tc>
        <w:tc>
          <w:tcPr>
            <w:tcW w:w="600" w:type="dxa"/>
            <w:vMerge w:val="restart"/>
            <w:tcBorders>
              <w:right w:val="single" w:sz="8" w:space="0" w:color="auto"/>
            </w:tcBorders>
            <w:shd w:val="clear" w:color="auto" w:fill="auto"/>
            <w:vAlign w:val="bottom"/>
          </w:tcPr>
          <w:p w14:paraId="48A59056" w14:textId="77777777" w:rsidR="00E05D9F" w:rsidRDefault="00E05D9F">
            <w:pPr>
              <w:spacing w:line="0" w:lineRule="atLeast"/>
              <w:ind w:right="143"/>
              <w:jc w:val="right"/>
              <w:rPr>
                <w:b/>
              </w:rPr>
            </w:pPr>
            <w:r>
              <w:rPr>
                <w:b/>
              </w:rPr>
              <w:t>3</w:t>
            </w:r>
          </w:p>
        </w:tc>
        <w:tc>
          <w:tcPr>
            <w:tcW w:w="600" w:type="dxa"/>
            <w:vMerge w:val="restart"/>
            <w:tcBorders>
              <w:right w:val="single" w:sz="8" w:space="0" w:color="auto"/>
            </w:tcBorders>
            <w:shd w:val="clear" w:color="auto" w:fill="auto"/>
            <w:vAlign w:val="bottom"/>
          </w:tcPr>
          <w:p w14:paraId="129F1ACC" w14:textId="77777777" w:rsidR="00E05D9F" w:rsidRDefault="00E05D9F">
            <w:pPr>
              <w:spacing w:line="0" w:lineRule="atLeast"/>
              <w:ind w:right="143"/>
              <w:jc w:val="right"/>
              <w:rPr>
                <w:b/>
              </w:rPr>
            </w:pPr>
            <w:r>
              <w:rPr>
                <w:b/>
              </w:rPr>
              <w:t>4</w:t>
            </w:r>
          </w:p>
        </w:tc>
        <w:tc>
          <w:tcPr>
            <w:tcW w:w="600" w:type="dxa"/>
            <w:vMerge w:val="restart"/>
            <w:tcBorders>
              <w:right w:val="single" w:sz="8" w:space="0" w:color="auto"/>
            </w:tcBorders>
            <w:shd w:val="clear" w:color="auto" w:fill="auto"/>
            <w:vAlign w:val="bottom"/>
          </w:tcPr>
          <w:p w14:paraId="7CD3B8A1" w14:textId="77777777" w:rsidR="00E05D9F" w:rsidRDefault="00E05D9F">
            <w:pPr>
              <w:spacing w:line="0" w:lineRule="atLeast"/>
              <w:ind w:right="143"/>
              <w:jc w:val="right"/>
              <w:rPr>
                <w:b/>
              </w:rPr>
            </w:pPr>
            <w:r>
              <w:rPr>
                <w:b/>
              </w:rPr>
              <w:t>5</w:t>
            </w:r>
          </w:p>
        </w:tc>
        <w:tc>
          <w:tcPr>
            <w:tcW w:w="600" w:type="dxa"/>
            <w:vMerge w:val="restart"/>
            <w:tcBorders>
              <w:right w:val="single" w:sz="8" w:space="0" w:color="auto"/>
            </w:tcBorders>
            <w:shd w:val="clear" w:color="auto" w:fill="auto"/>
            <w:vAlign w:val="bottom"/>
          </w:tcPr>
          <w:p w14:paraId="615F055A" w14:textId="77777777" w:rsidR="00E05D9F" w:rsidRDefault="00E05D9F">
            <w:pPr>
              <w:spacing w:line="0" w:lineRule="atLeast"/>
              <w:ind w:right="143"/>
              <w:jc w:val="right"/>
              <w:rPr>
                <w:b/>
              </w:rPr>
            </w:pPr>
            <w:r>
              <w:rPr>
                <w:b/>
              </w:rPr>
              <w:t>6</w:t>
            </w:r>
          </w:p>
        </w:tc>
        <w:tc>
          <w:tcPr>
            <w:tcW w:w="600" w:type="dxa"/>
            <w:vMerge w:val="restart"/>
            <w:tcBorders>
              <w:right w:val="single" w:sz="8" w:space="0" w:color="auto"/>
            </w:tcBorders>
            <w:shd w:val="clear" w:color="auto" w:fill="auto"/>
            <w:vAlign w:val="bottom"/>
          </w:tcPr>
          <w:p w14:paraId="155D3A1F" w14:textId="77777777" w:rsidR="00E05D9F" w:rsidRDefault="00E05D9F">
            <w:pPr>
              <w:spacing w:line="0" w:lineRule="atLeast"/>
              <w:ind w:right="143"/>
              <w:jc w:val="right"/>
              <w:rPr>
                <w:b/>
              </w:rPr>
            </w:pPr>
            <w:r>
              <w:rPr>
                <w:b/>
              </w:rPr>
              <w:t>7</w:t>
            </w:r>
          </w:p>
        </w:tc>
        <w:tc>
          <w:tcPr>
            <w:tcW w:w="620" w:type="dxa"/>
            <w:vMerge w:val="restart"/>
            <w:tcBorders>
              <w:right w:val="single" w:sz="8" w:space="0" w:color="auto"/>
            </w:tcBorders>
            <w:shd w:val="clear" w:color="auto" w:fill="auto"/>
            <w:vAlign w:val="bottom"/>
          </w:tcPr>
          <w:p w14:paraId="348B645F" w14:textId="77777777" w:rsidR="00E05D9F" w:rsidRDefault="00E05D9F">
            <w:pPr>
              <w:spacing w:line="0" w:lineRule="atLeast"/>
              <w:ind w:right="163"/>
              <w:jc w:val="right"/>
              <w:rPr>
                <w:b/>
              </w:rPr>
            </w:pPr>
            <w:r>
              <w:rPr>
                <w:b/>
              </w:rPr>
              <w:t>8</w:t>
            </w:r>
          </w:p>
        </w:tc>
        <w:tc>
          <w:tcPr>
            <w:tcW w:w="600" w:type="dxa"/>
            <w:vMerge w:val="restart"/>
            <w:tcBorders>
              <w:right w:val="single" w:sz="8" w:space="0" w:color="auto"/>
            </w:tcBorders>
            <w:shd w:val="clear" w:color="auto" w:fill="auto"/>
            <w:vAlign w:val="bottom"/>
          </w:tcPr>
          <w:p w14:paraId="62965153" w14:textId="77777777" w:rsidR="00E05D9F" w:rsidRDefault="00E05D9F">
            <w:pPr>
              <w:spacing w:line="0" w:lineRule="atLeast"/>
              <w:ind w:right="163"/>
              <w:jc w:val="right"/>
              <w:rPr>
                <w:b/>
              </w:rPr>
            </w:pPr>
            <w:r>
              <w:rPr>
                <w:b/>
              </w:rPr>
              <w:t>9</w:t>
            </w:r>
          </w:p>
        </w:tc>
        <w:tc>
          <w:tcPr>
            <w:tcW w:w="600" w:type="dxa"/>
            <w:vMerge w:val="restart"/>
            <w:tcBorders>
              <w:right w:val="single" w:sz="8" w:space="0" w:color="auto"/>
            </w:tcBorders>
            <w:shd w:val="clear" w:color="auto" w:fill="auto"/>
            <w:vAlign w:val="bottom"/>
          </w:tcPr>
          <w:p w14:paraId="3BBABB90" w14:textId="77777777" w:rsidR="00E05D9F" w:rsidRDefault="00E05D9F">
            <w:pPr>
              <w:spacing w:line="0" w:lineRule="atLeast"/>
              <w:ind w:right="123"/>
              <w:jc w:val="right"/>
              <w:rPr>
                <w:b/>
              </w:rPr>
            </w:pPr>
            <w:r>
              <w:rPr>
                <w:b/>
              </w:rPr>
              <w:t>10</w:t>
            </w:r>
          </w:p>
        </w:tc>
        <w:tc>
          <w:tcPr>
            <w:tcW w:w="1400" w:type="dxa"/>
            <w:vMerge w:val="restart"/>
            <w:tcBorders>
              <w:right w:val="single" w:sz="8" w:space="0" w:color="auto"/>
            </w:tcBorders>
            <w:shd w:val="clear" w:color="auto" w:fill="auto"/>
            <w:vAlign w:val="bottom"/>
          </w:tcPr>
          <w:p w14:paraId="05BA580F" w14:textId="77777777" w:rsidR="00E05D9F" w:rsidRDefault="00E05D9F">
            <w:pPr>
              <w:spacing w:line="0" w:lineRule="atLeast"/>
              <w:jc w:val="center"/>
              <w:rPr>
                <w:b/>
                <w:w w:val="96"/>
              </w:rPr>
            </w:pPr>
            <w:r>
              <w:rPr>
                <w:b/>
                <w:w w:val="96"/>
              </w:rPr>
              <w:t>Średniorocznie</w:t>
            </w:r>
          </w:p>
        </w:tc>
      </w:tr>
      <w:tr w:rsidR="00E05D9F" w14:paraId="2E993A06" w14:textId="77777777">
        <w:trPr>
          <w:trHeight w:val="240"/>
        </w:trPr>
        <w:tc>
          <w:tcPr>
            <w:tcW w:w="1860" w:type="dxa"/>
            <w:vMerge w:val="restart"/>
            <w:tcBorders>
              <w:left w:val="single" w:sz="8" w:space="0" w:color="auto"/>
              <w:right w:val="single" w:sz="8" w:space="0" w:color="auto"/>
            </w:tcBorders>
            <w:shd w:val="clear" w:color="auto" w:fill="auto"/>
            <w:vAlign w:val="bottom"/>
          </w:tcPr>
          <w:p w14:paraId="64525AEE" w14:textId="77777777" w:rsidR="00E05D9F" w:rsidRDefault="00E05D9F">
            <w:pPr>
              <w:spacing w:line="240" w:lineRule="exact"/>
              <w:ind w:left="80"/>
              <w:rPr>
                <w:b/>
              </w:rPr>
            </w:pPr>
            <w:r>
              <w:rPr>
                <w:b/>
              </w:rPr>
              <w:t>infrastruktury</w:t>
            </w:r>
          </w:p>
        </w:tc>
        <w:tc>
          <w:tcPr>
            <w:tcW w:w="600" w:type="dxa"/>
            <w:vMerge/>
            <w:tcBorders>
              <w:right w:val="single" w:sz="8" w:space="0" w:color="auto"/>
            </w:tcBorders>
            <w:shd w:val="clear" w:color="auto" w:fill="auto"/>
            <w:vAlign w:val="bottom"/>
          </w:tcPr>
          <w:p w14:paraId="46773793" w14:textId="77777777" w:rsidR="00E05D9F" w:rsidRDefault="00E05D9F">
            <w:pPr>
              <w:spacing w:line="0" w:lineRule="atLeast"/>
              <w:rPr>
                <w:rFonts w:ascii="Times New Roman" w:eastAsia="Times New Roman" w:hAnsi="Times New Roman"/>
                <w:sz w:val="10"/>
              </w:rPr>
            </w:pPr>
          </w:p>
        </w:tc>
        <w:tc>
          <w:tcPr>
            <w:tcW w:w="600" w:type="dxa"/>
            <w:vMerge/>
            <w:tcBorders>
              <w:right w:val="single" w:sz="8" w:space="0" w:color="auto"/>
            </w:tcBorders>
            <w:shd w:val="clear" w:color="auto" w:fill="auto"/>
            <w:vAlign w:val="bottom"/>
          </w:tcPr>
          <w:p w14:paraId="669BD772" w14:textId="77777777" w:rsidR="00E05D9F" w:rsidRDefault="00E05D9F">
            <w:pPr>
              <w:spacing w:line="0" w:lineRule="atLeast"/>
              <w:rPr>
                <w:rFonts w:ascii="Times New Roman" w:eastAsia="Times New Roman" w:hAnsi="Times New Roman"/>
                <w:sz w:val="10"/>
              </w:rPr>
            </w:pPr>
          </w:p>
        </w:tc>
        <w:tc>
          <w:tcPr>
            <w:tcW w:w="600" w:type="dxa"/>
            <w:vMerge/>
            <w:tcBorders>
              <w:right w:val="single" w:sz="8" w:space="0" w:color="auto"/>
            </w:tcBorders>
            <w:shd w:val="clear" w:color="auto" w:fill="auto"/>
            <w:vAlign w:val="bottom"/>
          </w:tcPr>
          <w:p w14:paraId="03A5107A" w14:textId="77777777" w:rsidR="00E05D9F" w:rsidRDefault="00E05D9F">
            <w:pPr>
              <w:spacing w:line="0" w:lineRule="atLeast"/>
              <w:rPr>
                <w:rFonts w:ascii="Times New Roman" w:eastAsia="Times New Roman" w:hAnsi="Times New Roman"/>
                <w:sz w:val="10"/>
              </w:rPr>
            </w:pPr>
          </w:p>
        </w:tc>
        <w:tc>
          <w:tcPr>
            <w:tcW w:w="600" w:type="dxa"/>
            <w:vMerge/>
            <w:tcBorders>
              <w:right w:val="single" w:sz="8" w:space="0" w:color="auto"/>
            </w:tcBorders>
            <w:shd w:val="clear" w:color="auto" w:fill="auto"/>
            <w:vAlign w:val="bottom"/>
          </w:tcPr>
          <w:p w14:paraId="6E75C68C" w14:textId="77777777" w:rsidR="00E05D9F" w:rsidRDefault="00E05D9F">
            <w:pPr>
              <w:spacing w:line="0" w:lineRule="atLeast"/>
              <w:rPr>
                <w:rFonts w:ascii="Times New Roman" w:eastAsia="Times New Roman" w:hAnsi="Times New Roman"/>
                <w:sz w:val="10"/>
              </w:rPr>
            </w:pPr>
          </w:p>
        </w:tc>
        <w:tc>
          <w:tcPr>
            <w:tcW w:w="600" w:type="dxa"/>
            <w:vMerge/>
            <w:tcBorders>
              <w:right w:val="single" w:sz="8" w:space="0" w:color="auto"/>
            </w:tcBorders>
            <w:shd w:val="clear" w:color="auto" w:fill="auto"/>
            <w:vAlign w:val="bottom"/>
          </w:tcPr>
          <w:p w14:paraId="374EEBD6" w14:textId="77777777" w:rsidR="00E05D9F" w:rsidRDefault="00E05D9F">
            <w:pPr>
              <w:spacing w:line="0" w:lineRule="atLeast"/>
              <w:rPr>
                <w:rFonts w:ascii="Times New Roman" w:eastAsia="Times New Roman" w:hAnsi="Times New Roman"/>
                <w:sz w:val="10"/>
              </w:rPr>
            </w:pPr>
          </w:p>
        </w:tc>
        <w:tc>
          <w:tcPr>
            <w:tcW w:w="600" w:type="dxa"/>
            <w:vMerge/>
            <w:tcBorders>
              <w:right w:val="single" w:sz="8" w:space="0" w:color="auto"/>
            </w:tcBorders>
            <w:shd w:val="clear" w:color="auto" w:fill="auto"/>
            <w:vAlign w:val="bottom"/>
          </w:tcPr>
          <w:p w14:paraId="69BA37B2" w14:textId="77777777" w:rsidR="00E05D9F" w:rsidRDefault="00E05D9F">
            <w:pPr>
              <w:spacing w:line="0" w:lineRule="atLeast"/>
              <w:rPr>
                <w:rFonts w:ascii="Times New Roman" w:eastAsia="Times New Roman" w:hAnsi="Times New Roman"/>
                <w:sz w:val="10"/>
              </w:rPr>
            </w:pPr>
          </w:p>
        </w:tc>
        <w:tc>
          <w:tcPr>
            <w:tcW w:w="600" w:type="dxa"/>
            <w:vMerge/>
            <w:tcBorders>
              <w:right w:val="single" w:sz="8" w:space="0" w:color="auto"/>
            </w:tcBorders>
            <w:shd w:val="clear" w:color="auto" w:fill="auto"/>
            <w:vAlign w:val="bottom"/>
          </w:tcPr>
          <w:p w14:paraId="27F7A865" w14:textId="77777777" w:rsidR="00E05D9F" w:rsidRDefault="00E05D9F">
            <w:pPr>
              <w:spacing w:line="0" w:lineRule="atLeast"/>
              <w:rPr>
                <w:rFonts w:ascii="Times New Roman" w:eastAsia="Times New Roman" w:hAnsi="Times New Roman"/>
                <w:sz w:val="10"/>
              </w:rPr>
            </w:pPr>
          </w:p>
        </w:tc>
        <w:tc>
          <w:tcPr>
            <w:tcW w:w="620" w:type="dxa"/>
            <w:vMerge/>
            <w:tcBorders>
              <w:right w:val="single" w:sz="8" w:space="0" w:color="auto"/>
            </w:tcBorders>
            <w:shd w:val="clear" w:color="auto" w:fill="auto"/>
            <w:vAlign w:val="bottom"/>
          </w:tcPr>
          <w:p w14:paraId="6303E06A" w14:textId="77777777" w:rsidR="00E05D9F" w:rsidRDefault="00E05D9F">
            <w:pPr>
              <w:spacing w:line="0" w:lineRule="atLeast"/>
              <w:rPr>
                <w:rFonts w:ascii="Times New Roman" w:eastAsia="Times New Roman" w:hAnsi="Times New Roman"/>
                <w:sz w:val="10"/>
              </w:rPr>
            </w:pPr>
          </w:p>
        </w:tc>
        <w:tc>
          <w:tcPr>
            <w:tcW w:w="600" w:type="dxa"/>
            <w:vMerge/>
            <w:tcBorders>
              <w:right w:val="single" w:sz="8" w:space="0" w:color="auto"/>
            </w:tcBorders>
            <w:shd w:val="clear" w:color="auto" w:fill="auto"/>
            <w:vAlign w:val="bottom"/>
          </w:tcPr>
          <w:p w14:paraId="26C5256A" w14:textId="77777777" w:rsidR="00E05D9F" w:rsidRDefault="00E05D9F">
            <w:pPr>
              <w:spacing w:line="0" w:lineRule="atLeast"/>
              <w:rPr>
                <w:rFonts w:ascii="Times New Roman" w:eastAsia="Times New Roman" w:hAnsi="Times New Roman"/>
                <w:sz w:val="10"/>
              </w:rPr>
            </w:pPr>
          </w:p>
        </w:tc>
        <w:tc>
          <w:tcPr>
            <w:tcW w:w="600" w:type="dxa"/>
            <w:vMerge/>
            <w:tcBorders>
              <w:right w:val="single" w:sz="8" w:space="0" w:color="auto"/>
            </w:tcBorders>
            <w:shd w:val="clear" w:color="auto" w:fill="auto"/>
            <w:vAlign w:val="bottom"/>
          </w:tcPr>
          <w:p w14:paraId="7439245A" w14:textId="77777777" w:rsidR="00E05D9F" w:rsidRDefault="00E05D9F">
            <w:pPr>
              <w:spacing w:line="0" w:lineRule="atLeast"/>
              <w:rPr>
                <w:rFonts w:ascii="Times New Roman" w:eastAsia="Times New Roman" w:hAnsi="Times New Roman"/>
                <w:sz w:val="10"/>
              </w:rPr>
            </w:pPr>
          </w:p>
        </w:tc>
        <w:tc>
          <w:tcPr>
            <w:tcW w:w="1400" w:type="dxa"/>
            <w:vMerge/>
            <w:tcBorders>
              <w:right w:val="single" w:sz="8" w:space="0" w:color="auto"/>
            </w:tcBorders>
            <w:shd w:val="clear" w:color="auto" w:fill="auto"/>
            <w:vAlign w:val="bottom"/>
          </w:tcPr>
          <w:p w14:paraId="4F349086" w14:textId="77777777" w:rsidR="00E05D9F" w:rsidRDefault="00E05D9F">
            <w:pPr>
              <w:spacing w:line="0" w:lineRule="atLeast"/>
              <w:rPr>
                <w:rFonts w:ascii="Times New Roman" w:eastAsia="Times New Roman" w:hAnsi="Times New Roman"/>
                <w:sz w:val="10"/>
              </w:rPr>
            </w:pPr>
          </w:p>
        </w:tc>
      </w:tr>
      <w:tr w:rsidR="00E05D9F" w14:paraId="2D716DF7" w14:textId="77777777">
        <w:trPr>
          <w:trHeight w:val="120"/>
        </w:trPr>
        <w:tc>
          <w:tcPr>
            <w:tcW w:w="1860" w:type="dxa"/>
            <w:vMerge/>
            <w:tcBorders>
              <w:left w:val="single" w:sz="8" w:space="0" w:color="auto"/>
              <w:right w:val="single" w:sz="8" w:space="0" w:color="auto"/>
            </w:tcBorders>
            <w:shd w:val="clear" w:color="auto" w:fill="auto"/>
            <w:vAlign w:val="bottom"/>
          </w:tcPr>
          <w:p w14:paraId="4753CDBF"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750902DB"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75BF9007"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51056224"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5692D3D2"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59D509D6"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5CE73BD2"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2DEEC267" w14:textId="77777777" w:rsidR="00E05D9F" w:rsidRDefault="00E05D9F">
            <w:pPr>
              <w:spacing w:line="0" w:lineRule="atLeast"/>
              <w:rPr>
                <w:rFonts w:ascii="Times New Roman" w:eastAsia="Times New Roman" w:hAnsi="Times New Roman"/>
                <w:sz w:val="10"/>
              </w:rPr>
            </w:pPr>
          </w:p>
        </w:tc>
        <w:tc>
          <w:tcPr>
            <w:tcW w:w="620" w:type="dxa"/>
            <w:tcBorders>
              <w:right w:val="single" w:sz="8" w:space="0" w:color="auto"/>
            </w:tcBorders>
            <w:shd w:val="clear" w:color="auto" w:fill="auto"/>
            <w:vAlign w:val="bottom"/>
          </w:tcPr>
          <w:p w14:paraId="3BA4BE76"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3A2B94ED"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34FD1CB1" w14:textId="77777777" w:rsidR="00E05D9F" w:rsidRDefault="00E05D9F">
            <w:pPr>
              <w:spacing w:line="0" w:lineRule="atLeast"/>
              <w:rPr>
                <w:rFonts w:ascii="Times New Roman" w:eastAsia="Times New Roman" w:hAnsi="Times New Roman"/>
                <w:sz w:val="10"/>
              </w:rPr>
            </w:pPr>
          </w:p>
        </w:tc>
        <w:tc>
          <w:tcPr>
            <w:tcW w:w="1400" w:type="dxa"/>
            <w:tcBorders>
              <w:right w:val="single" w:sz="8" w:space="0" w:color="auto"/>
            </w:tcBorders>
            <w:shd w:val="clear" w:color="auto" w:fill="auto"/>
            <w:vAlign w:val="bottom"/>
          </w:tcPr>
          <w:p w14:paraId="6D428EE9" w14:textId="77777777" w:rsidR="00E05D9F" w:rsidRDefault="00E05D9F">
            <w:pPr>
              <w:spacing w:line="0" w:lineRule="atLeast"/>
              <w:rPr>
                <w:rFonts w:ascii="Times New Roman" w:eastAsia="Times New Roman" w:hAnsi="Times New Roman"/>
                <w:sz w:val="10"/>
              </w:rPr>
            </w:pPr>
          </w:p>
        </w:tc>
      </w:tr>
      <w:tr w:rsidR="00E05D9F" w14:paraId="029EF40B" w14:textId="77777777">
        <w:trPr>
          <w:trHeight w:val="240"/>
        </w:trPr>
        <w:tc>
          <w:tcPr>
            <w:tcW w:w="1860" w:type="dxa"/>
            <w:tcBorders>
              <w:left w:val="single" w:sz="8" w:space="0" w:color="auto"/>
              <w:right w:val="single" w:sz="8" w:space="0" w:color="auto"/>
            </w:tcBorders>
            <w:shd w:val="clear" w:color="auto" w:fill="auto"/>
            <w:vAlign w:val="bottom"/>
          </w:tcPr>
          <w:p w14:paraId="7394772B" w14:textId="77777777" w:rsidR="00E05D9F" w:rsidRDefault="00E05D9F">
            <w:pPr>
              <w:spacing w:line="241" w:lineRule="exact"/>
              <w:ind w:left="80"/>
              <w:rPr>
                <w:b/>
              </w:rPr>
            </w:pPr>
            <w:r>
              <w:rPr>
                <w:b/>
              </w:rPr>
              <w:t>badawczej - lata</w:t>
            </w:r>
          </w:p>
        </w:tc>
        <w:tc>
          <w:tcPr>
            <w:tcW w:w="600" w:type="dxa"/>
            <w:tcBorders>
              <w:right w:val="single" w:sz="8" w:space="0" w:color="auto"/>
            </w:tcBorders>
            <w:shd w:val="clear" w:color="auto" w:fill="auto"/>
            <w:vAlign w:val="bottom"/>
          </w:tcPr>
          <w:p w14:paraId="21AC8FAE"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7410BEC7"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4173DDD1"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151168C7"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57ED6991"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49F7C042"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409782FC" w14:textId="77777777" w:rsidR="00E05D9F" w:rsidRDefault="00E05D9F">
            <w:pPr>
              <w:spacing w:line="0" w:lineRule="atLeast"/>
              <w:rPr>
                <w:rFonts w:ascii="Times New Roman" w:eastAsia="Times New Roman" w:hAnsi="Times New Roman"/>
              </w:rPr>
            </w:pPr>
          </w:p>
        </w:tc>
        <w:tc>
          <w:tcPr>
            <w:tcW w:w="620" w:type="dxa"/>
            <w:tcBorders>
              <w:right w:val="single" w:sz="8" w:space="0" w:color="auto"/>
            </w:tcBorders>
            <w:shd w:val="clear" w:color="auto" w:fill="auto"/>
            <w:vAlign w:val="bottom"/>
          </w:tcPr>
          <w:p w14:paraId="0F88E3AD"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11932D6E"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564296AC" w14:textId="77777777" w:rsidR="00E05D9F" w:rsidRDefault="00E05D9F">
            <w:pPr>
              <w:spacing w:line="0" w:lineRule="atLeast"/>
              <w:rPr>
                <w:rFonts w:ascii="Times New Roman" w:eastAsia="Times New Roman" w:hAnsi="Times New Roman"/>
              </w:rPr>
            </w:pPr>
          </w:p>
        </w:tc>
        <w:tc>
          <w:tcPr>
            <w:tcW w:w="1400" w:type="dxa"/>
            <w:tcBorders>
              <w:right w:val="single" w:sz="8" w:space="0" w:color="auto"/>
            </w:tcBorders>
            <w:shd w:val="clear" w:color="auto" w:fill="auto"/>
            <w:vAlign w:val="bottom"/>
          </w:tcPr>
          <w:p w14:paraId="539B29C9" w14:textId="77777777" w:rsidR="00E05D9F" w:rsidRDefault="00E05D9F">
            <w:pPr>
              <w:spacing w:line="0" w:lineRule="atLeast"/>
              <w:rPr>
                <w:rFonts w:ascii="Times New Roman" w:eastAsia="Times New Roman" w:hAnsi="Times New Roman"/>
              </w:rPr>
            </w:pPr>
          </w:p>
        </w:tc>
      </w:tr>
      <w:tr w:rsidR="00E05D9F" w14:paraId="38E29B72" w14:textId="77777777">
        <w:trPr>
          <w:trHeight w:val="27"/>
        </w:trPr>
        <w:tc>
          <w:tcPr>
            <w:tcW w:w="1860" w:type="dxa"/>
            <w:tcBorders>
              <w:left w:val="single" w:sz="8" w:space="0" w:color="auto"/>
              <w:bottom w:val="single" w:sz="8" w:space="0" w:color="auto"/>
              <w:right w:val="single" w:sz="8" w:space="0" w:color="auto"/>
            </w:tcBorders>
            <w:shd w:val="clear" w:color="auto" w:fill="auto"/>
            <w:vAlign w:val="bottom"/>
          </w:tcPr>
          <w:p w14:paraId="2704EC51" w14:textId="77777777" w:rsidR="00E05D9F" w:rsidRDefault="00E05D9F">
            <w:pPr>
              <w:spacing w:line="0" w:lineRule="atLeast"/>
              <w:rPr>
                <w:rFonts w:ascii="Times New Roman" w:eastAsia="Times New Roman" w:hAnsi="Times New Roman"/>
                <w:sz w:val="2"/>
              </w:rPr>
            </w:pPr>
          </w:p>
        </w:tc>
        <w:tc>
          <w:tcPr>
            <w:tcW w:w="600" w:type="dxa"/>
            <w:tcBorders>
              <w:bottom w:val="single" w:sz="8" w:space="0" w:color="auto"/>
              <w:right w:val="single" w:sz="8" w:space="0" w:color="auto"/>
            </w:tcBorders>
            <w:shd w:val="clear" w:color="auto" w:fill="auto"/>
            <w:vAlign w:val="bottom"/>
          </w:tcPr>
          <w:p w14:paraId="02EA9A40" w14:textId="77777777" w:rsidR="00E05D9F" w:rsidRDefault="00E05D9F">
            <w:pPr>
              <w:spacing w:line="0" w:lineRule="atLeast"/>
              <w:rPr>
                <w:rFonts w:ascii="Times New Roman" w:eastAsia="Times New Roman" w:hAnsi="Times New Roman"/>
                <w:sz w:val="2"/>
              </w:rPr>
            </w:pPr>
          </w:p>
        </w:tc>
        <w:tc>
          <w:tcPr>
            <w:tcW w:w="600" w:type="dxa"/>
            <w:tcBorders>
              <w:bottom w:val="single" w:sz="8" w:space="0" w:color="auto"/>
              <w:right w:val="single" w:sz="8" w:space="0" w:color="auto"/>
            </w:tcBorders>
            <w:shd w:val="clear" w:color="auto" w:fill="auto"/>
            <w:vAlign w:val="bottom"/>
          </w:tcPr>
          <w:p w14:paraId="7D2C43EA" w14:textId="77777777" w:rsidR="00E05D9F" w:rsidRDefault="00E05D9F">
            <w:pPr>
              <w:spacing w:line="0" w:lineRule="atLeast"/>
              <w:rPr>
                <w:rFonts w:ascii="Times New Roman" w:eastAsia="Times New Roman" w:hAnsi="Times New Roman"/>
                <w:sz w:val="2"/>
              </w:rPr>
            </w:pPr>
          </w:p>
        </w:tc>
        <w:tc>
          <w:tcPr>
            <w:tcW w:w="600" w:type="dxa"/>
            <w:tcBorders>
              <w:bottom w:val="single" w:sz="8" w:space="0" w:color="auto"/>
              <w:right w:val="single" w:sz="8" w:space="0" w:color="auto"/>
            </w:tcBorders>
            <w:shd w:val="clear" w:color="auto" w:fill="auto"/>
            <w:vAlign w:val="bottom"/>
          </w:tcPr>
          <w:p w14:paraId="263670D5" w14:textId="77777777" w:rsidR="00E05D9F" w:rsidRDefault="00E05D9F">
            <w:pPr>
              <w:spacing w:line="0" w:lineRule="atLeast"/>
              <w:rPr>
                <w:rFonts w:ascii="Times New Roman" w:eastAsia="Times New Roman" w:hAnsi="Times New Roman"/>
                <w:sz w:val="2"/>
              </w:rPr>
            </w:pPr>
          </w:p>
        </w:tc>
        <w:tc>
          <w:tcPr>
            <w:tcW w:w="600" w:type="dxa"/>
            <w:tcBorders>
              <w:bottom w:val="single" w:sz="8" w:space="0" w:color="auto"/>
              <w:right w:val="single" w:sz="8" w:space="0" w:color="auto"/>
            </w:tcBorders>
            <w:shd w:val="clear" w:color="auto" w:fill="auto"/>
            <w:vAlign w:val="bottom"/>
          </w:tcPr>
          <w:p w14:paraId="1193597F" w14:textId="77777777" w:rsidR="00E05D9F" w:rsidRDefault="00E05D9F">
            <w:pPr>
              <w:spacing w:line="0" w:lineRule="atLeast"/>
              <w:rPr>
                <w:rFonts w:ascii="Times New Roman" w:eastAsia="Times New Roman" w:hAnsi="Times New Roman"/>
                <w:sz w:val="2"/>
              </w:rPr>
            </w:pPr>
          </w:p>
        </w:tc>
        <w:tc>
          <w:tcPr>
            <w:tcW w:w="600" w:type="dxa"/>
            <w:tcBorders>
              <w:bottom w:val="single" w:sz="8" w:space="0" w:color="auto"/>
              <w:right w:val="single" w:sz="8" w:space="0" w:color="auto"/>
            </w:tcBorders>
            <w:shd w:val="clear" w:color="auto" w:fill="auto"/>
            <w:vAlign w:val="bottom"/>
          </w:tcPr>
          <w:p w14:paraId="5CDD26DD" w14:textId="77777777" w:rsidR="00E05D9F" w:rsidRDefault="00E05D9F">
            <w:pPr>
              <w:spacing w:line="0" w:lineRule="atLeast"/>
              <w:rPr>
                <w:rFonts w:ascii="Times New Roman" w:eastAsia="Times New Roman" w:hAnsi="Times New Roman"/>
                <w:sz w:val="2"/>
              </w:rPr>
            </w:pPr>
          </w:p>
        </w:tc>
        <w:tc>
          <w:tcPr>
            <w:tcW w:w="600" w:type="dxa"/>
            <w:tcBorders>
              <w:bottom w:val="single" w:sz="8" w:space="0" w:color="auto"/>
              <w:right w:val="single" w:sz="8" w:space="0" w:color="auto"/>
            </w:tcBorders>
            <w:shd w:val="clear" w:color="auto" w:fill="auto"/>
            <w:vAlign w:val="bottom"/>
          </w:tcPr>
          <w:p w14:paraId="2B28E24C" w14:textId="77777777" w:rsidR="00E05D9F" w:rsidRDefault="00E05D9F">
            <w:pPr>
              <w:spacing w:line="0" w:lineRule="atLeast"/>
              <w:rPr>
                <w:rFonts w:ascii="Times New Roman" w:eastAsia="Times New Roman" w:hAnsi="Times New Roman"/>
                <w:sz w:val="2"/>
              </w:rPr>
            </w:pPr>
          </w:p>
        </w:tc>
        <w:tc>
          <w:tcPr>
            <w:tcW w:w="600" w:type="dxa"/>
            <w:tcBorders>
              <w:bottom w:val="single" w:sz="8" w:space="0" w:color="auto"/>
              <w:right w:val="single" w:sz="8" w:space="0" w:color="auto"/>
            </w:tcBorders>
            <w:shd w:val="clear" w:color="auto" w:fill="auto"/>
            <w:vAlign w:val="bottom"/>
          </w:tcPr>
          <w:p w14:paraId="5A7E5AAB" w14:textId="77777777" w:rsidR="00E05D9F" w:rsidRDefault="00E05D9F">
            <w:pPr>
              <w:spacing w:line="0" w:lineRule="atLeast"/>
              <w:rPr>
                <w:rFonts w:ascii="Times New Roman" w:eastAsia="Times New Roman" w:hAnsi="Times New Roman"/>
                <w:sz w:val="2"/>
              </w:rPr>
            </w:pPr>
          </w:p>
        </w:tc>
        <w:tc>
          <w:tcPr>
            <w:tcW w:w="620" w:type="dxa"/>
            <w:tcBorders>
              <w:bottom w:val="single" w:sz="8" w:space="0" w:color="auto"/>
              <w:right w:val="single" w:sz="8" w:space="0" w:color="auto"/>
            </w:tcBorders>
            <w:shd w:val="clear" w:color="auto" w:fill="auto"/>
            <w:vAlign w:val="bottom"/>
          </w:tcPr>
          <w:p w14:paraId="3C6942E4" w14:textId="77777777" w:rsidR="00E05D9F" w:rsidRDefault="00E05D9F">
            <w:pPr>
              <w:spacing w:line="0" w:lineRule="atLeast"/>
              <w:rPr>
                <w:rFonts w:ascii="Times New Roman" w:eastAsia="Times New Roman" w:hAnsi="Times New Roman"/>
                <w:sz w:val="2"/>
              </w:rPr>
            </w:pPr>
          </w:p>
        </w:tc>
        <w:tc>
          <w:tcPr>
            <w:tcW w:w="600" w:type="dxa"/>
            <w:tcBorders>
              <w:bottom w:val="single" w:sz="8" w:space="0" w:color="auto"/>
              <w:right w:val="single" w:sz="8" w:space="0" w:color="auto"/>
            </w:tcBorders>
            <w:shd w:val="clear" w:color="auto" w:fill="auto"/>
            <w:vAlign w:val="bottom"/>
          </w:tcPr>
          <w:p w14:paraId="2D37E677" w14:textId="77777777" w:rsidR="00E05D9F" w:rsidRDefault="00E05D9F">
            <w:pPr>
              <w:spacing w:line="0" w:lineRule="atLeast"/>
              <w:rPr>
                <w:rFonts w:ascii="Times New Roman" w:eastAsia="Times New Roman" w:hAnsi="Times New Roman"/>
                <w:sz w:val="2"/>
              </w:rPr>
            </w:pPr>
          </w:p>
        </w:tc>
        <w:tc>
          <w:tcPr>
            <w:tcW w:w="600" w:type="dxa"/>
            <w:tcBorders>
              <w:bottom w:val="single" w:sz="8" w:space="0" w:color="auto"/>
              <w:right w:val="single" w:sz="8" w:space="0" w:color="auto"/>
            </w:tcBorders>
            <w:shd w:val="clear" w:color="auto" w:fill="auto"/>
            <w:vAlign w:val="bottom"/>
          </w:tcPr>
          <w:p w14:paraId="54914190" w14:textId="77777777" w:rsidR="00E05D9F" w:rsidRDefault="00E05D9F">
            <w:pPr>
              <w:spacing w:line="0" w:lineRule="atLeast"/>
              <w:rPr>
                <w:rFonts w:ascii="Times New Roman" w:eastAsia="Times New Roman" w:hAnsi="Times New Roman"/>
                <w:sz w:val="2"/>
              </w:rPr>
            </w:pPr>
          </w:p>
        </w:tc>
        <w:tc>
          <w:tcPr>
            <w:tcW w:w="1400" w:type="dxa"/>
            <w:tcBorders>
              <w:bottom w:val="single" w:sz="8" w:space="0" w:color="auto"/>
              <w:right w:val="single" w:sz="8" w:space="0" w:color="auto"/>
            </w:tcBorders>
            <w:shd w:val="clear" w:color="auto" w:fill="auto"/>
            <w:vAlign w:val="bottom"/>
          </w:tcPr>
          <w:p w14:paraId="638D2573" w14:textId="77777777" w:rsidR="00E05D9F" w:rsidRDefault="00E05D9F">
            <w:pPr>
              <w:spacing w:line="0" w:lineRule="atLeast"/>
              <w:rPr>
                <w:rFonts w:ascii="Times New Roman" w:eastAsia="Times New Roman" w:hAnsi="Times New Roman"/>
                <w:sz w:val="2"/>
              </w:rPr>
            </w:pPr>
          </w:p>
        </w:tc>
      </w:tr>
      <w:tr w:rsidR="00E05D9F" w14:paraId="74796AF8" w14:textId="77777777">
        <w:trPr>
          <w:trHeight w:val="238"/>
        </w:trPr>
        <w:tc>
          <w:tcPr>
            <w:tcW w:w="1860" w:type="dxa"/>
            <w:tcBorders>
              <w:left w:val="single" w:sz="8" w:space="0" w:color="auto"/>
              <w:right w:val="single" w:sz="8" w:space="0" w:color="auto"/>
            </w:tcBorders>
            <w:shd w:val="clear" w:color="auto" w:fill="auto"/>
            <w:vAlign w:val="bottom"/>
          </w:tcPr>
          <w:p w14:paraId="6872491E" w14:textId="77777777" w:rsidR="00E05D9F" w:rsidRDefault="00E05D9F">
            <w:pPr>
              <w:spacing w:line="238" w:lineRule="exact"/>
              <w:ind w:left="80"/>
              <w:rPr>
                <w:b/>
              </w:rPr>
            </w:pPr>
            <w:r>
              <w:rPr>
                <w:b/>
              </w:rPr>
              <w:t>Poziom wydajności</w:t>
            </w:r>
          </w:p>
        </w:tc>
        <w:tc>
          <w:tcPr>
            <w:tcW w:w="600" w:type="dxa"/>
            <w:tcBorders>
              <w:right w:val="single" w:sz="8" w:space="0" w:color="auto"/>
            </w:tcBorders>
            <w:shd w:val="clear" w:color="auto" w:fill="auto"/>
            <w:vAlign w:val="bottom"/>
          </w:tcPr>
          <w:p w14:paraId="036BE289"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5CDE650E"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5AD7A845"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1E5F4545"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47F1389D"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0C15C2FE"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39E64997" w14:textId="77777777" w:rsidR="00E05D9F" w:rsidRDefault="00E05D9F">
            <w:pPr>
              <w:spacing w:line="0" w:lineRule="atLeast"/>
              <w:rPr>
                <w:rFonts w:ascii="Times New Roman" w:eastAsia="Times New Roman" w:hAnsi="Times New Roman"/>
              </w:rPr>
            </w:pPr>
          </w:p>
        </w:tc>
        <w:tc>
          <w:tcPr>
            <w:tcW w:w="620" w:type="dxa"/>
            <w:tcBorders>
              <w:right w:val="single" w:sz="8" w:space="0" w:color="auto"/>
            </w:tcBorders>
            <w:shd w:val="clear" w:color="auto" w:fill="auto"/>
            <w:vAlign w:val="bottom"/>
          </w:tcPr>
          <w:p w14:paraId="52A1EBFD"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28E7235A"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4643F063" w14:textId="77777777" w:rsidR="00E05D9F" w:rsidRDefault="00E05D9F">
            <w:pPr>
              <w:spacing w:line="0" w:lineRule="atLeast"/>
              <w:rPr>
                <w:rFonts w:ascii="Times New Roman" w:eastAsia="Times New Roman" w:hAnsi="Times New Roman"/>
              </w:rPr>
            </w:pPr>
          </w:p>
        </w:tc>
        <w:tc>
          <w:tcPr>
            <w:tcW w:w="1400" w:type="dxa"/>
            <w:tcBorders>
              <w:right w:val="single" w:sz="8" w:space="0" w:color="auto"/>
            </w:tcBorders>
            <w:shd w:val="clear" w:color="auto" w:fill="auto"/>
            <w:vAlign w:val="bottom"/>
          </w:tcPr>
          <w:p w14:paraId="3769E4C0" w14:textId="77777777" w:rsidR="00E05D9F" w:rsidRDefault="00E05D9F">
            <w:pPr>
              <w:spacing w:line="0" w:lineRule="atLeast"/>
              <w:rPr>
                <w:rFonts w:ascii="Times New Roman" w:eastAsia="Times New Roman" w:hAnsi="Times New Roman"/>
              </w:rPr>
            </w:pPr>
          </w:p>
        </w:tc>
      </w:tr>
      <w:tr w:rsidR="00E05D9F" w14:paraId="62F97A96" w14:textId="77777777">
        <w:trPr>
          <w:trHeight w:val="240"/>
        </w:trPr>
        <w:tc>
          <w:tcPr>
            <w:tcW w:w="1860" w:type="dxa"/>
            <w:tcBorders>
              <w:left w:val="single" w:sz="8" w:space="0" w:color="auto"/>
              <w:right w:val="single" w:sz="8" w:space="0" w:color="auto"/>
            </w:tcBorders>
            <w:shd w:val="clear" w:color="auto" w:fill="auto"/>
            <w:vAlign w:val="bottom"/>
          </w:tcPr>
          <w:p w14:paraId="7109A866" w14:textId="77777777" w:rsidR="00E05D9F" w:rsidRDefault="00E05D9F">
            <w:pPr>
              <w:spacing w:line="241" w:lineRule="exact"/>
              <w:ind w:left="80"/>
              <w:rPr>
                <w:b/>
              </w:rPr>
            </w:pPr>
            <w:r>
              <w:rPr>
                <w:b/>
              </w:rPr>
              <w:t>infrastruktury</w:t>
            </w:r>
          </w:p>
        </w:tc>
        <w:tc>
          <w:tcPr>
            <w:tcW w:w="600" w:type="dxa"/>
            <w:tcBorders>
              <w:right w:val="single" w:sz="8" w:space="0" w:color="auto"/>
            </w:tcBorders>
            <w:shd w:val="clear" w:color="auto" w:fill="auto"/>
            <w:vAlign w:val="bottom"/>
          </w:tcPr>
          <w:p w14:paraId="1A8E3815"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5D0A4E2D"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6F65F84D"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35F387A7"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5AA7D7E0"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74118DC7"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60791097" w14:textId="77777777" w:rsidR="00E05D9F" w:rsidRDefault="00E05D9F">
            <w:pPr>
              <w:spacing w:line="0" w:lineRule="atLeast"/>
              <w:rPr>
                <w:rFonts w:ascii="Times New Roman" w:eastAsia="Times New Roman" w:hAnsi="Times New Roman"/>
              </w:rPr>
            </w:pPr>
          </w:p>
        </w:tc>
        <w:tc>
          <w:tcPr>
            <w:tcW w:w="620" w:type="dxa"/>
            <w:tcBorders>
              <w:right w:val="single" w:sz="8" w:space="0" w:color="auto"/>
            </w:tcBorders>
            <w:shd w:val="clear" w:color="auto" w:fill="auto"/>
            <w:vAlign w:val="bottom"/>
          </w:tcPr>
          <w:p w14:paraId="1F7E5017"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4BD35706"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05BE64C3" w14:textId="77777777" w:rsidR="00E05D9F" w:rsidRDefault="00E05D9F">
            <w:pPr>
              <w:spacing w:line="0" w:lineRule="atLeast"/>
              <w:rPr>
                <w:rFonts w:ascii="Times New Roman" w:eastAsia="Times New Roman" w:hAnsi="Times New Roman"/>
              </w:rPr>
            </w:pPr>
          </w:p>
        </w:tc>
        <w:tc>
          <w:tcPr>
            <w:tcW w:w="1400" w:type="dxa"/>
            <w:tcBorders>
              <w:right w:val="single" w:sz="8" w:space="0" w:color="auto"/>
            </w:tcBorders>
            <w:shd w:val="clear" w:color="auto" w:fill="auto"/>
            <w:vAlign w:val="bottom"/>
          </w:tcPr>
          <w:p w14:paraId="742C4FAC" w14:textId="77777777" w:rsidR="00E05D9F" w:rsidRDefault="00E05D9F">
            <w:pPr>
              <w:spacing w:line="0" w:lineRule="atLeast"/>
              <w:rPr>
                <w:rFonts w:ascii="Times New Roman" w:eastAsia="Times New Roman" w:hAnsi="Times New Roman"/>
              </w:rPr>
            </w:pPr>
          </w:p>
        </w:tc>
      </w:tr>
      <w:tr w:rsidR="00E05D9F" w14:paraId="06C29C15" w14:textId="77777777">
        <w:trPr>
          <w:trHeight w:val="240"/>
        </w:trPr>
        <w:tc>
          <w:tcPr>
            <w:tcW w:w="1860" w:type="dxa"/>
            <w:tcBorders>
              <w:left w:val="single" w:sz="8" w:space="0" w:color="auto"/>
              <w:right w:val="single" w:sz="8" w:space="0" w:color="auto"/>
            </w:tcBorders>
            <w:shd w:val="clear" w:color="auto" w:fill="auto"/>
            <w:vAlign w:val="bottom"/>
          </w:tcPr>
          <w:p w14:paraId="17E0A523" w14:textId="77777777" w:rsidR="00E05D9F" w:rsidRDefault="00E05D9F">
            <w:pPr>
              <w:spacing w:line="241" w:lineRule="exact"/>
              <w:ind w:left="80"/>
              <w:rPr>
                <w:b/>
              </w:rPr>
            </w:pPr>
            <w:r>
              <w:rPr>
                <w:b/>
              </w:rPr>
              <w:t>badawczej</w:t>
            </w:r>
          </w:p>
        </w:tc>
        <w:tc>
          <w:tcPr>
            <w:tcW w:w="600" w:type="dxa"/>
            <w:vMerge w:val="restart"/>
            <w:tcBorders>
              <w:right w:val="single" w:sz="8" w:space="0" w:color="auto"/>
            </w:tcBorders>
            <w:shd w:val="clear" w:color="auto" w:fill="auto"/>
            <w:vAlign w:val="bottom"/>
          </w:tcPr>
          <w:p w14:paraId="202BDE9F" w14:textId="77777777" w:rsidR="00E05D9F" w:rsidRDefault="00E05D9F">
            <w:pPr>
              <w:spacing w:line="0" w:lineRule="atLeast"/>
              <w:ind w:right="103"/>
              <w:jc w:val="right"/>
            </w:pPr>
            <w:r>
              <w:t>12</w:t>
            </w:r>
          </w:p>
        </w:tc>
        <w:tc>
          <w:tcPr>
            <w:tcW w:w="600" w:type="dxa"/>
            <w:vMerge w:val="restart"/>
            <w:tcBorders>
              <w:right w:val="single" w:sz="8" w:space="0" w:color="auto"/>
            </w:tcBorders>
            <w:shd w:val="clear" w:color="auto" w:fill="auto"/>
            <w:vAlign w:val="bottom"/>
          </w:tcPr>
          <w:p w14:paraId="4E08485C" w14:textId="77777777" w:rsidR="00E05D9F" w:rsidRDefault="00E05D9F">
            <w:pPr>
              <w:spacing w:line="0" w:lineRule="atLeast"/>
              <w:ind w:right="103"/>
              <w:jc w:val="right"/>
            </w:pPr>
            <w:r>
              <w:t>10</w:t>
            </w:r>
          </w:p>
        </w:tc>
        <w:tc>
          <w:tcPr>
            <w:tcW w:w="600" w:type="dxa"/>
            <w:vMerge w:val="restart"/>
            <w:tcBorders>
              <w:right w:val="single" w:sz="8" w:space="0" w:color="auto"/>
            </w:tcBorders>
            <w:shd w:val="clear" w:color="auto" w:fill="auto"/>
            <w:vAlign w:val="bottom"/>
          </w:tcPr>
          <w:p w14:paraId="2ECCE004" w14:textId="77777777" w:rsidR="00E05D9F" w:rsidRDefault="00E05D9F">
            <w:pPr>
              <w:spacing w:line="0" w:lineRule="atLeast"/>
              <w:ind w:right="103"/>
              <w:jc w:val="right"/>
            </w:pPr>
            <w:r>
              <w:t>17</w:t>
            </w:r>
          </w:p>
        </w:tc>
        <w:tc>
          <w:tcPr>
            <w:tcW w:w="600" w:type="dxa"/>
            <w:vMerge w:val="restart"/>
            <w:tcBorders>
              <w:right w:val="single" w:sz="8" w:space="0" w:color="auto"/>
            </w:tcBorders>
            <w:shd w:val="clear" w:color="auto" w:fill="auto"/>
            <w:vAlign w:val="bottom"/>
          </w:tcPr>
          <w:p w14:paraId="04BAD731" w14:textId="77777777" w:rsidR="00E05D9F" w:rsidRDefault="00E05D9F">
            <w:pPr>
              <w:spacing w:line="0" w:lineRule="atLeast"/>
              <w:ind w:right="103"/>
              <w:jc w:val="right"/>
            </w:pPr>
            <w:r>
              <w:t>15</w:t>
            </w:r>
          </w:p>
        </w:tc>
        <w:tc>
          <w:tcPr>
            <w:tcW w:w="600" w:type="dxa"/>
            <w:vMerge w:val="restart"/>
            <w:tcBorders>
              <w:right w:val="single" w:sz="8" w:space="0" w:color="auto"/>
            </w:tcBorders>
            <w:shd w:val="clear" w:color="auto" w:fill="auto"/>
            <w:vAlign w:val="bottom"/>
          </w:tcPr>
          <w:p w14:paraId="0EDE2F32" w14:textId="77777777" w:rsidR="00E05D9F" w:rsidRDefault="00E05D9F">
            <w:pPr>
              <w:spacing w:line="0" w:lineRule="atLeast"/>
              <w:ind w:right="103"/>
              <w:jc w:val="right"/>
            </w:pPr>
            <w:r>
              <w:t>35</w:t>
            </w:r>
          </w:p>
        </w:tc>
        <w:tc>
          <w:tcPr>
            <w:tcW w:w="600" w:type="dxa"/>
            <w:vMerge w:val="restart"/>
            <w:tcBorders>
              <w:right w:val="single" w:sz="8" w:space="0" w:color="auto"/>
            </w:tcBorders>
            <w:shd w:val="clear" w:color="auto" w:fill="auto"/>
            <w:vAlign w:val="bottom"/>
          </w:tcPr>
          <w:p w14:paraId="7CC55412" w14:textId="77777777" w:rsidR="00E05D9F" w:rsidRDefault="00E05D9F">
            <w:pPr>
              <w:spacing w:line="0" w:lineRule="atLeast"/>
              <w:ind w:right="103"/>
              <w:jc w:val="right"/>
            </w:pPr>
            <w:r>
              <w:t>29</w:t>
            </w:r>
          </w:p>
        </w:tc>
        <w:tc>
          <w:tcPr>
            <w:tcW w:w="600" w:type="dxa"/>
            <w:vMerge w:val="restart"/>
            <w:tcBorders>
              <w:right w:val="single" w:sz="8" w:space="0" w:color="auto"/>
            </w:tcBorders>
            <w:shd w:val="clear" w:color="auto" w:fill="auto"/>
            <w:vAlign w:val="bottom"/>
          </w:tcPr>
          <w:p w14:paraId="39373E9C" w14:textId="77777777" w:rsidR="00E05D9F" w:rsidRDefault="00E05D9F">
            <w:pPr>
              <w:spacing w:line="0" w:lineRule="atLeast"/>
              <w:ind w:right="103"/>
              <w:jc w:val="right"/>
            </w:pPr>
            <w:r>
              <w:t>17</w:t>
            </w:r>
          </w:p>
        </w:tc>
        <w:tc>
          <w:tcPr>
            <w:tcW w:w="620" w:type="dxa"/>
            <w:vMerge w:val="restart"/>
            <w:tcBorders>
              <w:right w:val="single" w:sz="8" w:space="0" w:color="auto"/>
            </w:tcBorders>
            <w:shd w:val="clear" w:color="auto" w:fill="auto"/>
            <w:vAlign w:val="bottom"/>
          </w:tcPr>
          <w:p w14:paraId="1769BB1E" w14:textId="77777777" w:rsidR="00E05D9F" w:rsidRDefault="00E05D9F">
            <w:pPr>
              <w:spacing w:line="0" w:lineRule="atLeast"/>
              <w:ind w:right="123"/>
              <w:jc w:val="right"/>
            </w:pPr>
            <w:r>
              <w:t>18</w:t>
            </w:r>
          </w:p>
        </w:tc>
        <w:tc>
          <w:tcPr>
            <w:tcW w:w="600" w:type="dxa"/>
            <w:vMerge w:val="restart"/>
            <w:tcBorders>
              <w:right w:val="single" w:sz="8" w:space="0" w:color="auto"/>
            </w:tcBorders>
            <w:shd w:val="clear" w:color="auto" w:fill="auto"/>
            <w:vAlign w:val="bottom"/>
          </w:tcPr>
          <w:p w14:paraId="4E3C3C93" w14:textId="77777777" w:rsidR="00E05D9F" w:rsidRDefault="00E05D9F">
            <w:pPr>
              <w:spacing w:line="0" w:lineRule="atLeast"/>
              <w:ind w:right="123"/>
              <w:jc w:val="right"/>
            </w:pPr>
            <w:r>
              <w:t>15</w:t>
            </w:r>
          </w:p>
        </w:tc>
        <w:tc>
          <w:tcPr>
            <w:tcW w:w="600" w:type="dxa"/>
            <w:vMerge w:val="restart"/>
            <w:tcBorders>
              <w:right w:val="single" w:sz="8" w:space="0" w:color="auto"/>
            </w:tcBorders>
            <w:shd w:val="clear" w:color="auto" w:fill="auto"/>
            <w:vAlign w:val="bottom"/>
          </w:tcPr>
          <w:p w14:paraId="77ECA299" w14:textId="77777777" w:rsidR="00E05D9F" w:rsidRDefault="00E05D9F">
            <w:pPr>
              <w:spacing w:line="0" w:lineRule="atLeast"/>
              <w:ind w:right="123"/>
              <w:jc w:val="right"/>
            </w:pPr>
            <w:r>
              <w:t>19</w:t>
            </w:r>
          </w:p>
        </w:tc>
        <w:tc>
          <w:tcPr>
            <w:tcW w:w="1400" w:type="dxa"/>
            <w:vMerge w:val="restart"/>
            <w:tcBorders>
              <w:right w:val="single" w:sz="8" w:space="0" w:color="auto"/>
            </w:tcBorders>
            <w:shd w:val="clear" w:color="auto" w:fill="auto"/>
            <w:vAlign w:val="bottom"/>
          </w:tcPr>
          <w:p w14:paraId="4C26C78F" w14:textId="77777777" w:rsidR="00E05D9F" w:rsidRDefault="00E05D9F">
            <w:pPr>
              <w:spacing w:line="0" w:lineRule="atLeast"/>
              <w:ind w:right="423"/>
              <w:jc w:val="right"/>
              <w:rPr>
                <w:b/>
              </w:rPr>
            </w:pPr>
            <w:r>
              <w:rPr>
                <w:b/>
              </w:rPr>
              <w:t>18,7</w:t>
            </w:r>
          </w:p>
        </w:tc>
      </w:tr>
      <w:tr w:rsidR="00E05D9F" w14:paraId="42B82AE8" w14:textId="77777777">
        <w:trPr>
          <w:trHeight w:val="244"/>
        </w:trPr>
        <w:tc>
          <w:tcPr>
            <w:tcW w:w="1860" w:type="dxa"/>
            <w:vMerge w:val="restart"/>
            <w:tcBorders>
              <w:left w:val="single" w:sz="8" w:space="0" w:color="auto"/>
              <w:right w:val="single" w:sz="8" w:space="0" w:color="auto"/>
            </w:tcBorders>
            <w:shd w:val="clear" w:color="auto" w:fill="auto"/>
            <w:vAlign w:val="bottom"/>
          </w:tcPr>
          <w:p w14:paraId="72EA9104" w14:textId="77777777" w:rsidR="00E05D9F" w:rsidRDefault="00E05D9F">
            <w:pPr>
              <w:spacing w:line="0" w:lineRule="atLeast"/>
              <w:ind w:left="80"/>
              <w:rPr>
                <w:b/>
              </w:rPr>
            </w:pPr>
            <w:r>
              <w:rPr>
                <w:b/>
              </w:rPr>
              <w:t>wykorzystywanej na</w:t>
            </w:r>
          </w:p>
        </w:tc>
        <w:tc>
          <w:tcPr>
            <w:tcW w:w="600" w:type="dxa"/>
            <w:vMerge/>
            <w:tcBorders>
              <w:right w:val="single" w:sz="8" w:space="0" w:color="auto"/>
            </w:tcBorders>
            <w:shd w:val="clear" w:color="auto" w:fill="auto"/>
            <w:vAlign w:val="bottom"/>
          </w:tcPr>
          <w:p w14:paraId="2BCA39EB" w14:textId="77777777" w:rsidR="00E05D9F" w:rsidRDefault="00E05D9F">
            <w:pPr>
              <w:spacing w:line="0" w:lineRule="atLeast"/>
              <w:rPr>
                <w:rFonts w:ascii="Times New Roman" w:eastAsia="Times New Roman" w:hAnsi="Times New Roman"/>
                <w:sz w:val="11"/>
              </w:rPr>
            </w:pPr>
          </w:p>
        </w:tc>
        <w:tc>
          <w:tcPr>
            <w:tcW w:w="600" w:type="dxa"/>
            <w:vMerge/>
            <w:tcBorders>
              <w:right w:val="single" w:sz="8" w:space="0" w:color="auto"/>
            </w:tcBorders>
            <w:shd w:val="clear" w:color="auto" w:fill="auto"/>
            <w:vAlign w:val="bottom"/>
          </w:tcPr>
          <w:p w14:paraId="081CC2C4" w14:textId="77777777" w:rsidR="00E05D9F" w:rsidRDefault="00E05D9F">
            <w:pPr>
              <w:spacing w:line="0" w:lineRule="atLeast"/>
              <w:rPr>
                <w:rFonts w:ascii="Times New Roman" w:eastAsia="Times New Roman" w:hAnsi="Times New Roman"/>
                <w:sz w:val="11"/>
              </w:rPr>
            </w:pPr>
          </w:p>
        </w:tc>
        <w:tc>
          <w:tcPr>
            <w:tcW w:w="600" w:type="dxa"/>
            <w:vMerge/>
            <w:tcBorders>
              <w:right w:val="single" w:sz="8" w:space="0" w:color="auto"/>
            </w:tcBorders>
            <w:shd w:val="clear" w:color="auto" w:fill="auto"/>
            <w:vAlign w:val="bottom"/>
          </w:tcPr>
          <w:p w14:paraId="52689D3D" w14:textId="77777777" w:rsidR="00E05D9F" w:rsidRDefault="00E05D9F">
            <w:pPr>
              <w:spacing w:line="0" w:lineRule="atLeast"/>
              <w:rPr>
                <w:rFonts w:ascii="Times New Roman" w:eastAsia="Times New Roman" w:hAnsi="Times New Roman"/>
                <w:sz w:val="11"/>
              </w:rPr>
            </w:pPr>
          </w:p>
        </w:tc>
        <w:tc>
          <w:tcPr>
            <w:tcW w:w="600" w:type="dxa"/>
            <w:vMerge/>
            <w:tcBorders>
              <w:right w:val="single" w:sz="8" w:space="0" w:color="auto"/>
            </w:tcBorders>
            <w:shd w:val="clear" w:color="auto" w:fill="auto"/>
            <w:vAlign w:val="bottom"/>
          </w:tcPr>
          <w:p w14:paraId="1265044E" w14:textId="77777777" w:rsidR="00E05D9F" w:rsidRDefault="00E05D9F">
            <w:pPr>
              <w:spacing w:line="0" w:lineRule="atLeast"/>
              <w:rPr>
                <w:rFonts w:ascii="Times New Roman" w:eastAsia="Times New Roman" w:hAnsi="Times New Roman"/>
                <w:sz w:val="11"/>
              </w:rPr>
            </w:pPr>
          </w:p>
        </w:tc>
        <w:tc>
          <w:tcPr>
            <w:tcW w:w="600" w:type="dxa"/>
            <w:vMerge/>
            <w:tcBorders>
              <w:right w:val="single" w:sz="8" w:space="0" w:color="auto"/>
            </w:tcBorders>
            <w:shd w:val="clear" w:color="auto" w:fill="auto"/>
            <w:vAlign w:val="bottom"/>
          </w:tcPr>
          <w:p w14:paraId="4862E154" w14:textId="77777777" w:rsidR="00E05D9F" w:rsidRDefault="00E05D9F">
            <w:pPr>
              <w:spacing w:line="0" w:lineRule="atLeast"/>
              <w:rPr>
                <w:rFonts w:ascii="Times New Roman" w:eastAsia="Times New Roman" w:hAnsi="Times New Roman"/>
                <w:sz w:val="11"/>
              </w:rPr>
            </w:pPr>
          </w:p>
        </w:tc>
        <w:tc>
          <w:tcPr>
            <w:tcW w:w="600" w:type="dxa"/>
            <w:vMerge/>
            <w:tcBorders>
              <w:right w:val="single" w:sz="8" w:space="0" w:color="auto"/>
            </w:tcBorders>
            <w:shd w:val="clear" w:color="auto" w:fill="auto"/>
            <w:vAlign w:val="bottom"/>
          </w:tcPr>
          <w:p w14:paraId="146B27D0" w14:textId="77777777" w:rsidR="00E05D9F" w:rsidRDefault="00E05D9F">
            <w:pPr>
              <w:spacing w:line="0" w:lineRule="atLeast"/>
              <w:rPr>
                <w:rFonts w:ascii="Times New Roman" w:eastAsia="Times New Roman" w:hAnsi="Times New Roman"/>
                <w:sz w:val="11"/>
              </w:rPr>
            </w:pPr>
          </w:p>
        </w:tc>
        <w:tc>
          <w:tcPr>
            <w:tcW w:w="600" w:type="dxa"/>
            <w:vMerge/>
            <w:tcBorders>
              <w:right w:val="single" w:sz="8" w:space="0" w:color="auto"/>
            </w:tcBorders>
            <w:shd w:val="clear" w:color="auto" w:fill="auto"/>
            <w:vAlign w:val="bottom"/>
          </w:tcPr>
          <w:p w14:paraId="6DE3174C" w14:textId="77777777" w:rsidR="00E05D9F" w:rsidRDefault="00E05D9F">
            <w:pPr>
              <w:spacing w:line="0" w:lineRule="atLeast"/>
              <w:rPr>
                <w:rFonts w:ascii="Times New Roman" w:eastAsia="Times New Roman" w:hAnsi="Times New Roman"/>
                <w:sz w:val="11"/>
              </w:rPr>
            </w:pPr>
          </w:p>
        </w:tc>
        <w:tc>
          <w:tcPr>
            <w:tcW w:w="620" w:type="dxa"/>
            <w:vMerge/>
            <w:tcBorders>
              <w:right w:val="single" w:sz="8" w:space="0" w:color="auto"/>
            </w:tcBorders>
            <w:shd w:val="clear" w:color="auto" w:fill="auto"/>
            <w:vAlign w:val="bottom"/>
          </w:tcPr>
          <w:p w14:paraId="3C01BC6A" w14:textId="77777777" w:rsidR="00E05D9F" w:rsidRDefault="00E05D9F">
            <w:pPr>
              <w:spacing w:line="0" w:lineRule="atLeast"/>
              <w:rPr>
                <w:rFonts w:ascii="Times New Roman" w:eastAsia="Times New Roman" w:hAnsi="Times New Roman"/>
                <w:sz w:val="11"/>
              </w:rPr>
            </w:pPr>
          </w:p>
        </w:tc>
        <w:tc>
          <w:tcPr>
            <w:tcW w:w="600" w:type="dxa"/>
            <w:vMerge/>
            <w:tcBorders>
              <w:right w:val="single" w:sz="8" w:space="0" w:color="auto"/>
            </w:tcBorders>
            <w:shd w:val="clear" w:color="auto" w:fill="auto"/>
            <w:vAlign w:val="bottom"/>
          </w:tcPr>
          <w:p w14:paraId="29A60773" w14:textId="77777777" w:rsidR="00E05D9F" w:rsidRDefault="00E05D9F">
            <w:pPr>
              <w:spacing w:line="0" w:lineRule="atLeast"/>
              <w:rPr>
                <w:rFonts w:ascii="Times New Roman" w:eastAsia="Times New Roman" w:hAnsi="Times New Roman"/>
                <w:sz w:val="11"/>
              </w:rPr>
            </w:pPr>
          </w:p>
        </w:tc>
        <w:tc>
          <w:tcPr>
            <w:tcW w:w="600" w:type="dxa"/>
            <w:vMerge/>
            <w:tcBorders>
              <w:right w:val="single" w:sz="8" w:space="0" w:color="auto"/>
            </w:tcBorders>
            <w:shd w:val="clear" w:color="auto" w:fill="auto"/>
            <w:vAlign w:val="bottom"/>
          </w:tcPr>
          <w:p w14:paraId="6178918E" w14:textId="77777777" w:rsidR="00E05D9F" w:rsidRDefault="00E05D9F">
            <w:pPr>
              <w:spacing w:line="0" w:lineRule="atLeast"/>
              <w:rPr>
                <w:rFonts w:ascii="Times New Roman" w:eastAsia="Times New Roman" w:hAnsi="Times New Roman"/>
                <w:sz w:val="11"/>
              </w:rPr>
            </w:pPr>
          </w:p>
        </w:tc>
        <w:tc>
          <w:tcPr>
            <w:tcW w:w="1400" w:type="dxa"/>
            <w:vMerge/>
            <w:tcBorders>
              <w:right w:val="single" w:sz="8" w:space="0" w:color="auto"/>
            </w:tcBorders>
            <w:shd w:val="clear" w:color="auto" w:fill="auto"/>
            <w:vAlign w:val="bottom"/>
          </w:tcPr>
          <w:p w14:paraId="6974D910" w14:textId="77777777" w:rsidR="00E05D9F" w:rsidRDefault="00E05D9F">
            <w:pPr>
              <w:spacing w:line="0" w:lineRule="atLeast"/>
              <w:rPr>
                <w:rFonts w:ascii="Times New Roman" w:eastAsia="Times New Roman" w:hAnsi="Times New Roman"/>
                <w:sz w:val="11"/>
              </w:rPr>
            </w:pPr>
          </w:p>
        </w:tc>
      </w:tr>
      <w:tr w:rsidR="00E05D9F" w14:paraId="6B26471F" w14:textId="77777777">
        <w:trPr>
          <w:trHeight w:val="120"/>
        </w:trPr>
        <w:tc>
          <w:tcPr>
            <w:tcW w:w="1860" w:type="dxa"/>
            <w:vMerge/>
            <w:tcBorders>
              <w:left w:val="single" w:sz="8" w:space="0" w:color="auto"/>
              <w:right w:val="single" w:sz="8" w:space="0" w:color="auto"/>
            </w:tcBorders>
            <w:shd w:val="clear" w:color="auto" w:fill="auto"/>
            <w:vAlign w:val="bottom"/>
          </w:tcPr>
          <w:p w14:paraId="2E52D5EE"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3AE5E886"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21162716"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69E638A1"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401756D3"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5A6AAA6D"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49190644"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60124368" w14:textId="77777777" w:rsidR="00E05D9F" w:rsidRDefault="00E05D9F">
            <w:pPr>
              <w:spacing w:line="0" w:lineRule="atLeast"/>
              <w:rPr>
                <w:rFonts w:ascii="Times New Roman" w:eastAsia="Times New Roman" w:hAnsi="Times New Roman"/>
                <w:sz w:val="10"/>
              </w:rPr>
            </w:pPr>
          </w:p>
        </w:tc>
        <w:tc>
          <w:tcPr>
            <w:tcW w:w="620" w:type="dxa"/>
            <w:tcBorders>
              <w:right w:val="single" w:sz="8" w:space="0" w:color="auto"/>
            </w:tcBorders>
            <w:shd w:val="clear" w:color="auto" w:fill="auto"/>
            <w:vAlign w:val="bottom"/>
          </w:tcPr>
          <w:p w14:paraId="37B0CB6B"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14788B29" w14:textId="77777777" w:rsidR="00E05D9F" w:rsidRDefault="00E05D9F">
            <w:pPr>
              <w:spacing w:line="0" w:lineRule="atLeast"/>
              <w:rPr>
                <w:rFonts w:ascii="Times New Roman" w:eastAsia="Times New Roman" w:hAnsi="Times New Roman"/>
                <w:sz w:val="10"/>
              </w:rPr>
            </w:pPr>
          </w:p>
        </w:tc>
        <w:tc>
          <w:tcPr>
            <w:tcW w:w="600" w:type="dxa"/>
            <w:tcBorders>
              <w:right w:val="single" w:sz="8" w:space="0" w:color="auto"/>
            </w:tcBorders>
            <w:shd w:val="clear" w:color="auto" w:fill="auto"/>
            <w:vAlign w:val="bottom"/>
          </w:tcPr>
          <w:p w14:paraId="6F7F5BB7" w14:textId="77777777" w:rsidR="00E05D9F" w:rsidRDefault="00E05D9F">
            <w:pPr>
              <w:spacing w:line="0" w:lineRule="atLeast"/>
              <w:rPr>
                <w:rFonts w:ascii="Times New Roman" w:eastAsia="Times New Roman" w:hAnsi="Times New Roman"/>
                <w:sz w:val="10"/>
              </w:rPr>
            </w:pPr>
          </w:p>
        </w:tc>
        <w:tc>
          <w:tcPr>
            <w:tcW w:w="1400" w:type="dxa"/>
            <w:tcBorders>
              <w:right w:val="single" w:sz="8" w:space="0" w:color="auto"/>
            </w:tcBorders>
            <w:shd w:val="clear" w:color="auto" w:fill="auto"/>
            <w:vAlign w:val="bottom"/>
          </w:tcPr>
          <w:p w14:paraId="03EE61B0" w14:textId="77777777" w:rsidR="00E05D9F" w:rsidRDefault="00E05D9F">
            <w:pPr>
              <w:spacing w:line="0" w:lineRule="atLeast"/>
              <w:rPr>
                <w:rFonts w:ascii="Times New Roman" w:eastAsia="Times New Roman" w:hAnsi="Times New Roman"/>
                <w:sz w:val="10"/>
              </w:rPr>
            </w:pPr>
          </w:p>
        </w:tc>
      </w:tr>
      <w:tr w:rsidR="00E05D9F" w14:paraId="0EA043C5" w14:textId="77777777">
        <w:trPr>
          <w:trHeight w:val="240"/>
        </w:trPr>
        <w:tc>
          <w:tcPr>
            <w:tcW w:w="1860" w:type="dxa"/>
            <w:tcBorders>
              <w:left w:val="single" w:sz="8" w:space="0" w:color="auto"/>
              <w:right w:val="single" w:sz="8" w:space="0" w:color="auto"/>
            </w:tcBorders>
            <w:shd w:val="clear" w:color="auto" w:fill="auto"/>
            <w:vAlign w:val="bottom"/>
          </w:tcPr>
          <w:p w14:paraId="36835438" w14:textId="77777777" w:rsidR="00E05D9F" w:rsidRDefault="00E05D9F">
            <w:pPr>
              <w:spacing w:line="241" w:lineRule="exact"/>
              <w:ind w:left="80"/>
              <w:rPr>
                <w:b/>
              </w:rPr>
            </w:pPr>
            <w:r>
              <w:rPr>
                <w:b/>
              </w:rPr>
              <w:t>cele gospodarcze</w:t>
            </w:r>
          </w:p>
        </w:tc>
        <w:tc>
          <w:tcPr>
            <w:tcW w:w="600" w:type="dxa"/>
            <w:tcBorders>
              <w:right w:val="single" w:sz="8" w:space="0" w:color="auto"/>
            </w:tcBorders>
            <w:shd w:val="clear" w:color="auto" w:fill="auto"/>
            <w:vAlign w:val="bottom"/>
          </w:tcPr>
          <w:p w14:paraId="6742A7CE"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032C8446"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5DDB1D43"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39FE7726"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722DB52F"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5E8CB7BF"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5771F4F9" w14:textId="77777777" w:rsidR="00E05D9F" w:rsidRDefault="00E05D9F">
            <w:pPr>
              <w:spacing w:line="0" w:lineRule="atLeast"/>
              <w:rPr>
                <w:rFonts w:ascii="Times New Roman" w:eastAsia="Times New Roman" w:hAnsi="Times New Roman"/>
              </w:rPr>
            </w:pPr>
          </w:p>
        </w:tc>
        <w:tc>
          <w:tcPr>
            <w:tcW w:w="620" w:type="dxa"/>
            <w:tcBorders>
              <w:right w:val="single" w:sz="8" w:space="0" w:color="auto"/>
            </w:tcBorders>
            <w:shd w:val="clear" w:color="auto" w:fill="auto"/>
            <w:vAlign w:val="bottom"/>
          </w:tcPr>
          <w:p w14:paraId="49CFE573"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47A24352" w14:textId="77777777" w:rsidR="00E05D9F" w:rsidRDefault="00E05D9F">
            <w:pPr>
              <w:spacing w:line="0" w:lineRule="atLeast"/>
              <w:rPr>
                <w:rFonts w:ascii="Times New Roman" w:eastAsia="Times New Roman" w:hAnsi="Times New Roman"/>
              </w:rPr>
            </w:pPr>
          </w:p>
        </w:tc>
        <w:tc>
          <w:tcPr>
            <w:tcW w:w="600" w:type="dxa"/>
            <w:tcBorders>
              <w:right w:val="single" w:sz="8" w:space="0" w:color="auto"/>
            </w:tcBorders>
            <w:shd w:val="clear" w:color="auto" w:fill="auto"/>
            <w:vAlign w:val="bottom"/>
          </w:tcPr>
          <w:p w14:paraId="36FD72C3" w14:textId="77777777" w:rsidR="00E05D9F" w:rsidRDefault="00E05D9F">
            <w:pPr>
              <w:spacing w:line="0" w:lineRule="atLeast"/>
              <w:rPr>
                <w:rFonts w:ascii="Times New Roman" w:eastAsia="Times New Roman" w:hAnsi="Times New Roman"/>
              </w:rPr>
            </w:pPr>
          </w:p>
        </w:tc>
        <w:tc>
          <w:tcPr>
            <w:tcW w:w="1400" w:type="dxa"/>
            <w:tcBorders>
              <w:right w:val="single" w:sz="8" w:space="0" w:color="auto"/>
            </w:tcBorders>
            <w:shd w:val="clear" w:color="auto" w:fill="auto"/>
            <w:vAlign w:val="bottom"/>
          </w:tcPr>
          <w:p w14:paraId="342871BE" w14:textId="77777777" w:rsidR="00E05D9F" w:rsidRDefault="00E05D9F">
            <w:pPr>
              <w:spacing w:line="0" w:lineRule="atLeast"/>
              <w:rPr>
                <w:rFonts w:ascii="Times New Roman" w:eastAsia="Times New Roman" w:hAnsi="Times New Roman"/>
              </w:rPr>
            </w:pPr>
          </w:p>
        </w:tc>
      </w:tr>
      <w:tr w:rsidR="00E05D9F" w14:paraId="539529BA" w14:textId="77777777">
        <w:trPr>
          <w:trHeight w:val="237"/>
        </w:trPr>
        <w:tc>
          <w:tcPr>
            <w:tcW w:w="1860" w:type="dxa"/>
            <w:tcBorders>
              <w:left w:val="single" w:sz="8" w:space="0" w:color="auto"/>
              <w:bottom w:val="single" w:sz="8" w:space="0" w:color="auto"/>
              <w:right w:val="single" w:sz="8" w:space="0" w:color="auto"/>
            </w:tcBorders>
            <w:shd w:val="clear" w:color="auto" w:fill="auto"/>
            <w:vAlign w:val="bottom"/>
          </w:tcPr>
          <w:p w14:paraId="35548375" w14:textId="77777777" w:rsidR="00E05D9F" w:rsidRDefault="00E05D9F">
            <w:pPr>
              <w:spacing w:line="238" w:lineRule="exact"/>
              <w:ind w:left="80"/>
              <w:rPr>
                <w:b/>
              </w:rPr>
            </w:pPr>
            <w:r>
              <w:rPr>
                <w:b/>
              </w:rPr>
              <w:t>(%)</w:t>
            </w:r>
          </w:p>
        </w:tc>
        <w:tc>
          <w:tcPr>
            <w:tcW w:w="600" w:type="dxa"/>
            <w:tcBorders>
              <w:bottom w:val="single" w:sz="8" w:space="0" w:color="auto"/>
              <w:right w:val="single" w:sz="8" w:space="0" w:color="auto"/>
            </w:tcBorders>
            <w:shd w:val="clear" w:color="auto" w:fill="auto"/>
            <w:vAlign w:val="bottom"/>
          </w:tcPr>
          <w:p w14:paraId="0643DD66" w14:textId="77777777" w:rsidR="00E05D9F" w:rsidRDefault="00E05D9F">
            <w:pPr>
              <w:spacing w:line="0" w:lineRule="atLeast"/>
              <w:rPr>
                <w:rFonts w:ascii="Times New Roman" w:eastAsia="Times New Roman" w:hAnsi="Times New Roman"/>
              </w:rPr>
            </w:pPr>
          </w:p>
        </w:tc>
        <w:tc>
          <w:tcPr>
            <w:tcW w:w="600" w:type="dxa"/>
            <w:tcBorders>
              <w:bottom w:val="single" w:sz="8" w:space="0" w:color="auto"/>
              <w:right w:val="single" w:sz="8" w:space="0" w:color="auto"/>
            </w:tcBorders>
            <w:shd w:val="clear" w:color="auto" w:fill="auto"/>
            <w:vAlign w:val="bottom"/>
          </w:tcPr>
          <w:p w14:paraId="749146E0" w14:textId="77777777" w:rsidR="00E05D9F" w:rsidRDefault="00E05D9F">
            <w:pPr>
              <w:spacing w:line="0" w:lineRule="atLeast"/>
              <w:rPr>
                <w:rFonts w:ascii="Times New Roman" w:eastAsia="Times New Roman" w:hAnsi="Times New Roman"/>
              </w:rPr>
            </w:pPr>
          </w:p>
        </w:tc>
        <w:tc>
          <w:tcPr>
            <w:tcW w:w="600" w:type="dxa"/>
            <w:tcBorders>
              <w:bottom w:val="single" w:sz="8" w:space="0" w:color="auto"/>
              <w:right w:val="single" w:sz="8" w:space="0" w:color="auto"/>
            </w:tcBorders>
            <w:shd w:val="clear" w:color="auto" w:fill="auto"/>
            <w:vAlign w:val="bottom"/>
          </w:tcPr>
          <w:p w14:paraId="045901C1" w14:textId="77777777" w:rsidR="00E05D9F" w:rsidRDefault="00E05D9F">
            <w:pPr>
              <w:spacing w:line="0" w:lineRule="atLeast"/>
              <w:rPr>
                <w:rFonts w:ascii="Times New Roman" w:eastAsia="Times New Roman" w:hAnsi="Times New Roman"/>
              </w:rPr>
            </w:pPr>
          </w:p>
        </w:tc>
        <w:tc>
          <w:tcPr>
            <w:tcW w:w="600" w:type="dxa"/>
            <w:tcBorders>
              <w:bottom w:val="single" w:sz="8" w:space="0" w:color="auto"/>
              <w:right w:val="single" w:sz="8" w:space="0" w:color="auto"/>
            </w:tcBorders>
            <w:shd w:val="clear" w:color="auto" w:fill="auto"/>
            <w:vAlign w:val="bottom"/>
          </w:tcPr>
          <w:p w14:paraId="65A4FEAF" w14:textId="77777777" w:rsidR="00E05D9F" w:rsidRDefault="00E05D9F">
            <w:pPr>
              <w:spacing w:line="0" w:lineRule="atLeast"/>
              <w:rPr>
                <w:rFonts w:ascii="Times New Roman" w:eastAsia="Times New Roman" w:hAnsi="Times New Roman"/>
              </w:rPr>
            </w:pPr>
          </w:p>
        </w:tc>
        <w:tc>
          <w:tcPr>
            <w:tcW w:w="600" w:type="dxa"/>
            <w:tcBorders>
              <w:bottom w:val="single" w:sz="8" w:space="0" w:color="auto"/>
              <w:right w:val="single" w:sz="8" w:space="0" w:color="auto"/>
            </w:tcBorders>
            <w:shd w:val="clear" w:color="auto" w:fill="auto"/>
            <w:vAlign w:val="bottom"/>
          </w:tcPr>
          <w:p w14:paraId="05CB7AE9" w14:textId="77777777" w:rsidR="00E05D9F" w:rsidRDefault="00E05D9F">
            <w:pPr>
              <w:spacing w:line="0" w:lineRule="atLeast"/>
              <w:rPr>
                <w:rFonts w:ascii="Times New Roman" w:eastAsia="Times New Roman" w:hAnsi="Times New Roman"/>
              </w:rPr>
            </w:pPr>
          </w:p>
        </w:tc>
        <w:tc>
          <w:tcPr>
            <w:tcW w:w="600" w:type="dxa"/>
            <w:tcBorders>
              <w:bottom w:val="single" w:sz="8" w:space="0" w:color="auto"/>
              <w:right w:val="single" w:sz="8" w:space="0" w:color="auto"/>
            </w:tcBorders>
            <w:shd w:val="clear" w:color="auto" w:fill="auto"/>
            <w:vAlign w:val="bottom"/>
          </w:tcPr>
          <w:p w14:paraId="6A36EF5E" w14:textId="77777777" w:rsidR="00E05D9F" w:rsidRDefault="00E05D9F">
            <w:pPr>
              <w:spacing w:line="0" w:lineRule="atLeast"/>
              <w:rPr>
                <w:rFonts w:ascii="Times New Roman" w:eastAsia="Times New Roman" w:hAnsi="Times New Roman"/>
              </w:rPr>
            </w:pPr>
          </w:p>
        </w:tc>
        <w:tc>
          <w:tcPr>
            <w:tcW w:w="600" w:type="dxa"/>
            <w:tcBorders>
              <w:bottom w:val="single" w:sz="8" w:space="0" w:color="auto"/>
              <w:right w:val="single" w:sz="8" w:space="0" w:color="auto"/>
            </w:tcBorders>
            <w:shd w:val="clear" w:color="auto" w:fill="auto"/>
            <w:vAlign w:val="bottom"/>
          </w:tcPr>
          <w:p w14:paraId="5889E83A" w14:textId="77777777" w:rsidR="00E05D9F" w:rsidRDefault="00E05D9F">
            <w:pPr>
              <w:spacing w:line="0" w:lineRule="atLeast"/>
              <w:rPr>
                <w:rFonts w:ascii="Times New Roman" w:eastAsia="Times New Roman" w:hAnsi="Times New Roman"/>
              </w:rPr>
            </w:pPr>
          </w:p>
        </w:tc>
        <w:tc>
          <w:tcPr>
            <w:tcW w:w="620" w:type="dxa"/>
            <w:tcBorders>
              <w:bottom w:val="single" w:sz="8" w:space="0" w:color="auto"/>
              <w:right w:val="single" w:sz="8" w:space="0" w:color="auto"/>
            </w:tcBorders>
            <w:shd w:val="clear" w:color="auto" w:fill="auto"/>
            <w:vAlign w:val="bottom"/>
          </w:tcPr>
          <w:p w14:paraId="3D9ED54F" w14:textId="77777777" w:rsidR="00E05D9F" w:rsidRDefault="00E05D9F">
            <w:pPr>
              <w:spacing w:line="0" w:lineRule="atLeast"/>
              <w:rPr>
                <w:rFonts w:ascii="Times New Roman" w:eastAsia="Times New Roman" w:hAnsi="Times New Roman"/>
              </w:rPr>
            </w:pPr>
          </w:p>
        </w:tc>
        <w:tc>
          <w:tcPr>
            <w:tcW w:w="600" w:type="dxa"/>
            <w:tcBorders>
              <w:bottom w:val="single" w:sz="8" w:space="0" w:color="auto"/>
              <w:right w:val="single" w:sz="8" w:space="0" w:color="auto"/>
            </w:tcBorders>
            <w:shd w:val="clear" w:color="auto" w:fill="auto"/>
            <w:vAlign w:val="bottom"/>
          </w:tcPr>
          <w:p w14:paraId="116A022E" w14:textId="77777777" w:rsidR="00E05D9F" w:rsidRDefault="00E05D9F">
            <w:pPr>
              <w:spacing w:line="0" w:lineRule="atLeast"/>
              <w:rPr>
                <w:rFonts w:ascii="Times New Roman" w:eastAsia="Times New Roman" w:hAnsi="Times New Roman"/>
              </w:rPr>
            </w:pPr>
          </w:p>
        </w:tc>
        <w:tc>
          <w:tcPr>
            <w:tcW w:w="600" w:type="dxa"/>
            <w:tcBorders>
              <w:bottom w:val="single" w:sz="8" w:space="0" w:color="auto"/>
              <w:right w:val="single" w:sz="8" w:space="0" w:color="auto"/>
            </w:tcBorders>
            <w:shd w:val="clear" w:color="auto" w:fill="auto"/>
            <w:vAlign w:val="bottom"/>
          </w:tcPr>
          <w:p w14:paraId="2AE26751" w14:textId="77777777" w:rsidR="00E05D9F" w:rsidRDefault="00E05D9F">
            <w:pPr>
              <w:spacing w:line="0" w:lineRule="atLeast"/>
              <w:rPr>
                <w:rFonts w:ascii="Times New Roman" w:eastAsia="Times New Roman" w:hAnsi="Times New Roman"/>
              </w:rPr>
            </w:pPr>
          </w:p>
        </w:tc>
        <w:tc>
          <w:tcPr>
            <w:tcW w:w="1400" w:type="dxa"/>
            <w:tcBorders>
              <w:bottom w:val="single" w:sz="8" w:space="0" w:color="auto"/>
              <w:right w:val="single" w:sz="8" w:space="0" w:color="auto"/>
            </w:tcBorders>
            <w:shd w:val="clear" w:color="auto" w:fill="auto"/>
            <w:vAlign w:val="bottom"/>
          </w:tcPr>
          <w:p w14:paraId="4AA268A4" w14:textId="77777777" w:rsidR="00E05D9F" w:rsidRDefault="00E05D9F">
            <w:pPr>
              <w:spacing w:line="0" w:lineRule="atLeast"/>
              <w:rPr>
                <w:rFonts w:ascii="Times New Roman" w:eastAsia="Times New Roman" w:hAnsi="Times New Roman"/>
              </w:rPr>
            </w:pPr>
          </w:p>
        </w:tc>
      </w:tr>
    </w:tbl>
    <w:p w14:paraId="1C6EAFB8" w14:textId="77777777" w:rsidR="00E05D9F" w:rsidRDefault="00E05D9F">
      <w:pPr>
        <w:spacing w:line="282" w:lineRule="exact"/>
        <w:rPr>
          <w:rFonts w:ascii="Times New Roman" w:eastAsia="Times New Roman" w:hAnsi="Times New Roman"/>
        </w:rPr>
      </w:pPr>
    </w:p>
    <w:p w14:paraId="5D57F5F1" w14:textId="77777777" w:rsidR="00E05D9F" w:rsidRDefault="00E05D9F" w:rsidP="00FE1021">
      <w:pPr>
        <w:numPr>
          <w:ilvl w:val="0"/>
          <w:numId w:val="13"/>
        </w:numPr>
        <w:tabs>
          <w:tab w:val="left" w:pos="429"/>
        </w:tabs>
        <w:spacing w:line="239" w:lineRule="auto"/>
        <w:ind w:left="8" w:right="220" w:hanging="8"/>
        <w:jc w:val="both"/>
        <w:rPr>
          <w:sz w:val="23"/>
        </w:rPr>
      </w:pPr>
      <w:r>
        <w:rPr>
          <w:sz w:val="23"/>
        </w:rPr>
        <w:t>Monitorowanie sposobu wykorzystania infrastruktury odbywa się w oparciu o powierzchnię infrastruktury, czas jej wykorzystania lub o inne wskaźniki (jeden lub kilka), najodpowiedniejsze z punktu widzenia możliwego sposobu wykorzystania infrastruktury.</w:t>
      </w:r>
    </w:p>
    <w:p w14:paraId="1282FF10" w14:textId="77777777" w:rsidR="00E05D9F" w:rsidRDefault="00E05D9F">
      <w:pPr>
        <w:spacing w:line="287" w:lineRule="exact"/>
        <w:rPr>
          <w:rFonts w:ascii="Times New Roman" w:eastAsia="Times New Roman" w:hAnsi="Times New Roman"/>
        </w:rPr>
      </w:pPr>
    </w:p>
    <w:p w14:paraId="467FBA7D" w14:textId="77777777" w:rsidR="00E05D9F" w:rsidRDefault="00E05D9F" w:rsidP="009E60C5">
      <w:pPr>
        <w:spacing w:line="251" w:lineRule="auto"/>
        <w:ind w:left="8" w:right="220"/>
        <w:jc w:val="both"/>
        <w:rPr>
          <w:sz w:val="21"/>
        </w:rPr>
      </w:pPr>
      <w:r>
        <w:rPr>
          <w:sz w:val="21"/>
        </w:rPr>
        <w:t>Ze względu na różnorodność finansowanej infrastruktury badawczej , sposób określania wskaźnika wydajności</w:t>
      </w:r>
      <w:r w:rsidR="009E60C5">
        <w:rPr>
          <w:sz w:val="21"/>
        </w:rPr>
        <w:t xml:space="preserve">    </w:t>
      </w:r>
      <w:r>
        <w:rPr>
          <w:sz w:val="21"/>
        </w:rPr>
        <w:t xml:space="preserve"> infrastruktury </w:t>
      </w:r>
      <w:r w:rsidR="009E60C5">
        <w:rPr>
          <w:sz w:val="21"/>
        </w:rPr>
        <w:t xml:space="preserve">    </w:t>
      </w:r>
      <w:r>
        <w:rPr>
          <w:sz w:val="21"/>
        </w:rPr>
        <w:t xml:space="preserve">badawczej </w:t>
      </w:r>
      <w:r w:rsidR="009E60C5">
        <w:rPr>
          <w:sz w:val="21"/>
        </w:rPr>
        <w:t xml:space="preserve">    </w:t>
      </w:r>
      <w:r>
        <w:rPr>
          <w:sz w:val="21"/>
        </w:rPr>
        <w:t xml:space="preserve">wykorzystywanej </w:t>
      </w:r>
      <w:r w:rsidR="009E60C5">
        <w:rPr>
          <w:sz w:val="21"/>
        </w:rPr>
        <w:t xml:space="preserve">    </w:t>
      </w:r>
      <w:r>
        <w:rPr>
          <w:sz w:val="21"/>
        </w:rPr>
        <w:t>do</w:t>
      </w:r>
      <w:r w:rsidR="009E60C5">
        <w:rPr>
          <w:sz w:val="21"/>
        </w:rPr>
        <w:t xml:space="preserve">   </w:t>
      </w:r>
      <w:r>
        <w:rPr>
          <w:sz w:val="21"/>
        </w:rPr>
        <w:t xml:space="preserve"> działalności</w:t>
      </w:r>
      <w:r w:rsidR="009E60C5">
        <w:rPr>
          <w:sz w:val="21"/>
        </w:rPr>
        <w:t xml:space="preserve">  </w:t>
      </w:r>
      <w:r>
        <w:rPr>
          <w:sz w:val="21"/>
        </w:rPr>
        <w:t xml:space="preserve"> gospodarczej </w:t>
      </w:r>
      <w:r w:rsidR="009E60C5">
        <w:rPr>
          <w:sz w:val="21"/>
        </w:rPr>
        <w:t xml:space="preserve">  </w:t>
      </w:r>
      <w:r>
        <w:rPr>
          <w:sz w:val="21"/>
        </w:rPr>
        <w:t>nie został</w:t>
      </w:r>
    </w:p>
    <w:p w14:paraId="2D2237A9" w14:textId="7260805D" w:rsidR="00E05D9F" w:rsidRDefault="00C36DA5">
      <w:pPr>
        <w:spacing w:line="20" w:lineRule="exact"/>
        <w:rPr>
          <w:rFonts w:ascii="Times New Roman" w:eastAsia="Times New Roman" w:hAnsi="Times New Roman"/>
        </w:rPr>
      </w:pPr>
      <w:r>
        <w:rPr>
          <w:noProof/>
          <w:sz w:val="21"/>
        </w:rPr>
        <mc:AlternateContent>
          <mc:Choice Requires="wps">
            <w:drawing>
              <wp:anchor distT="0" distB="0" distL="114300" distR="114300" simplePos="0" relativeHeight="251658242" behindDoc="1" locked="0" layoutInCell="1" allowOverlap="1" wp14:anchorId="3572B573" wp14:editId="7B5D8963">
                <wp:simplePos x="0" y="0"/>
                <wp:positionH relativeFrom="column">
                  <wp:posOffset>0</wp:posOffset>
                </wp:positionH>
                <wp:positionV relativeFrom="paragraph">
                  <wp:posOffset>209550</wp:posOffset>
                </wp:positionV>
                <wp:extent cx="1830705" cy="0"/>
                <wp:effectExtent l="10795" t="10160" r="6350" b="8890"/>
                <wp:wrapNone/>
                <wp:docPr id="99250202"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31F51" id="Line 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144.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WHsAEAAEgDAAAOAAAAZHJzL2Uyb0RvYy54bWysU8Fu2zAMvQ/YPwi6L3YyZO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"/>
            </w:pict>
          </mc:Fallback>
        </mc:AlternateContent>
      </w:r>
    </w:p>
    <w:p w14:paraId="14BE179A" w14:textId="77777777" w:rsidR="00E05D9F" w:rsidRDefault="00E05D9F">
      <w:pPr>
        <w:spacing w:line="200" w:lineRule="exact"/>
        <w:rPr>
          <w:rFonts w:ascii="Times New Roman" w:eastAsia="Times New Roman" w:hAnsi="Times New Roman"/>
        </w:rPr>
      </w:pPr>
    </w:p>
    <w:p w14:paraId="5B9C342D" w14:textId="77777777" w:rsidR="00E05D9F" w:rsidRDefault="00E05D9F">
      <w:pPr>
        <w:spacing w:line="200" w:lineRule="exact"/>
        <w:rPr>
          <w:rFonts w:ascii="Times New Roman" w:eastAsia="Times New Roman" w:hAnsi="Times New Roman"/>
        </w:rPr>
      </w:pPr>
    </w:p>
    <w:p w14:paraId="128A9C42" w14:textId="77777777" w:rsidR="00E05D9F" w:rsidRDefault="00E05D9F">
      <w:pPr>
        <w:spacing w:line="200" w:lineRule="exact"/>
        <w:rPr>
          <w:rFonts w:ascii="Times New Roman" w:eastAsia="Times New Roman" w:hAnsi="Times New Roman"/>
        </w:rPr>
      </w:pPr>
    </w:p>
    <w:p w14:paraId="6A9957C1" w14:textId="77777777" w:rsidR="00E05D9F" w:rsidRDefault="00E05D9F">
      <w:pPr>
        <w:spacing w:line="379" w:lineRule="exact"/>
        <w:rPr>
          <w:rFonts w:ascii="Times New Roman" w:eastAsia="Times New Roman" w:hAnsi="Times New Roman"/>
        </w:rPr>
      </w:pPr>
    </w:p>
    <w:p w14:paraId="17C887C5" w14:textId="77777777" w:rsidR="00E05D9F" w:rsidRDefault="00E05D9F" w:rsidP="00FE1021">
      <w:pPr>
        <w:numPr>
          <w:ilvl w:val="0"/>
          <w:numId w:val="14"/>
        </w:numPr>
        <w:tabs>
          <w:tab w:val="left" w:pos="128"/>
        </w:tabs>
        <w:spacing w:line="216" w:lineRule="auto"/>
        <w:ind w:left="8" w:right="240" w:hanging="8"/>
        <w:jc w:val="both"/>
        <w:rPr>
          <w:sz w:val="24"/>
          <w:vertAlign w:val="superscript"/>
        </w:rPr>
      </w:pPr>
      <w:r>
        <w:rPr>
          <w:sz w:val="18"/>
        </w:rPr>
        <w:t>Specyfika infrastruktury obejmować może np. kwestie takie jak oddawanie poszczególnych elementów infrastruktury do użytku w różnych terminach, możliwość samodzielnego wykorzystania poszczególnych elementów infrastruktury czy możliwość wyodrębnienia grup elementów infrastruktury o takich samych okresach amortyzacji.</w:t>
      </w:r>
    </w:p>
    <w:p w14:paraId="030D3F53" w14:textId="77777777" w:rsidR="00E05D9F" w:rsidRDefault="00E05D9F">
      <w:pPr>
        <w:spacing w:line="241" w:lineRule="exact"/>
        <w:rPr>
          <w:rFonts w:ascii="Times New Roman" w:eastAsia="Times New Roman" w:hAnsi="Times New Roman"/>
        </w:rPr>
      </w:pPr>
    </w:p>
    <w:p w14:paraId="2E4313D1" w14:textId="77777777" w:rsidR="00E05D9F" w:rsidRDefault="00E05D9F">
      <w:pPr>
        <w:spacing w:line="0" w:lineRule="atLeast"/>
        <w:ind w:left="8988"/>
      </w:pPr>
      <w:r>
        <w:t>5</w:t>
      </w:r>
    </w:p>
    <w:p w14:paraId="5E5C0966" w14:textId="77777777" w:rsidR="00E05D9F" w:rsidRDefault="00E05D9F">
      <w:pPr>
        <w:spacing w:line="0" w:lineRule="atLeast"/>
        <w:ind w:left="8988"/>
        <w:sectPr w:rsidR="00E05D9F" w:rsidSect="00F716F9">
          <w:pgSz w:w="11920" w:h="16845"/>
          <w:pgMar w:top="1440" w:right="1190" w:bottom="1440" w:left="1412" w:header="0" w:footer="210" w:gutter="0"/>
          <w:cols w:space="0" w:equalWidth="0">
            <w:col w:w="9308"/>
          </w:cols>
          <w:docGrid w:linePitch="360"/>
        </w:sectPr>
      </w:pPr>
    </w:p>
    <w:p w14:paraId="0BE1820C" w14:textId="77777777" w:rsidR="00E05D9F" w:rsidRDefault="00E05D9F">
      <w:pPr>
        <w:spacing w:line="13" w:lineRule="exact"/>
        <w:rPr>
          <w:rFonts w:ascii="Times New Roman" w:eastAsia="Times New Roman" w:hAnsi="Times New Roman"/>
        </w:rPr>
      </w:pPr>
      <w:bookmarkStart w:id="5" w:name="page6"/>
      <w:bookmarkEnd w:id="5"/>
    </w:p>
    <w:p w14:paraId="6546C0BA" w14:textId="77777777" w:rsidR="00E05D9F" w:rsidRDefault="00E05D9F">
      <w:pPr>
        <w:spacing w:line="280" w:lineRule="auto"/>
        <w:ind w:left="8"/>
        <w:jc w:val="both"/>
        <w:rPr>
          <w:b/>
          <w:sz w:val="21"/>
        </w:rPr>
      </w:pPr>
      <w:r>
        <w:rPr>
          <w:sz w:val="21"/>
        </w:rPr>
        <w:t xml:space="preserve">doprecyzowany przez Komisję Europejską. Zgodnie ze stanowiskiem Komisji Europejskiej, metoda określania tego wskaźnika powinna zostać dopasowana do specyfiki danej infrastruktury – możliwe jest wykorzystanie jako wskaźników wydajności infrastruktury badawczej np. jej powierzchni, czasu jej użytkowania </w:t>
      </w:r>
      <w:r w:rsidR="00744C3B">
        <w:rPr>
          <w:sz w:val="21"/>
        </w:rPr>
        <w:t xml:space="preserve">  </w:t>
      </w:r>
      <w:r>
        <w:rPr>
          <w:sz w:val="21"/>
        </w:rPr>
        <w:t xml:space="preserve">lub </w:t>
      </w:r>
      <w:r w:rsidR="00744C3B">
        <w:rPr>
          <w:sz w:val="21"/>
        </w:rPr>
        <w:t xml:space="preserve">  </w:t>
      </w:r>
      <w:r>
        <w:rPr>
          <w:sz w:val="21"/>
        </w:rPr>
        <w:t xml:space="preserve">wartości </w:t>
      </w:r>
      <w:r w:rsidR="00744C3B">
        <w:rPr>
          <w:sz w:val="21"/>
        </w:rPr>
        <w:t xml:space="preserve">  </w:t>
      </w:r>
      <w:r>
        <w:rPr>
          <w:sz w:val="21"/>
        </w:rPr>
        <w:t xml:space="preserve">nakładów </w:t>
      </w:r>
      <w:r w:rsidR="00744C3B">
        <w:rPr>
          <w:sz w:val="21"/>
        </w:rPr>
        <w:t xml:space="preserve">  </w:t>
      </w:r>
      <w:r>
        <w:rPr>
          <w:sz w:val="21"/>
        </w:rPr>
        <w:t>absorbowanych</w:t>
      </w:r>
      <w:r w:rsidR="00744C3B">
        <w:rPr>
          <w:sz w:val="21"/>
        </w:rPr>
        <w:t xml:space="preserve">  </w:t>
      </w:r>
      <w:r>
        <w:rPr>
          <w:sz w:val="21"/>
        </w:rPr>
        <w:t xml:space="preserve"> przez </w:t>
      </w:r>
      <w:r w:rsidR="00744C3B">
        <w:rPr>
          <w:sz w:val="21"/>
        </w:rPr>
        <w:t xml:space="preserve">  </w:t>
      </w:r>
      <w:r>
        <w:rPr>
          <w:sz w:val="21"/>
        </w:rPr>
        <w:t xml:space="preserve">infrastrukturę. </w:t>
      </w:r>
      <w:r>
        <w:rPr>
          <w:b/>
          <w:sz w:val="21"/>
        </w:rPr>
        <w:t>Mechanizm ten nie może</w:t>
      </w:r>
    </w:p>
    <w:p w14:paraId="665C8C84" w14:textId="77777777" w:rsidR="00E05D9F" w:rsidRDefault="00E05D9F">
      <w:pPr>
        <w:spacing w:line="18" w:lineRule="exact"/>
        <w:rPr>
          <w:rFonts w:ascii="Times New Roman" w:eastAsia="Times New Roman" w:hAnsi="Times New Roman"/>
        </w:rPr>
      </w:pPr>
    </w:p>
    <w:p w14:paraId="078781D8" w14:textId="77777777" w:rsidR="00E05D9F" w:rsidRDefault="00E05D9F">
      <w:pPr>
        <w:spacing w:line="0" w:lineRule="atLeast"/>
        <w:ind w:left="8"/>
        <w:rPr>
          <w:b/>
          <w:sz w:val="21"/>
        </w:rPr>
      </w:pPr>
      <w:r>
        <w:rPr>
          <w:b/>
          <w:sz w:val="21"/>
        </w:rPr>
        <w:t>być oparty na przychodach lub dochodach osiąganych z działalności gospodarczej i niegospodarczej.</w:t>
      </w:r>
    </w:p>
    <w:p w14:paraId="748CDF6E" w14:textId="77777777" w:rsidR="00E05D9F" w:rsidRDefault="00E05D9F">
      <w:pPr>
        <w:spacing w:line="286" w:lineRule="exact"/>
        <w:rPr>
          <w:rFonts w:ascii="Times New Roman" w:eastAsia="Times New Roman" w:hAnsi="Times New Roman"/>
        </w:rPr>
      </w:pPr>
    </w:p>
    <w:p w14:paraId="5B64865B" w14:textId="77777777" w:rsidR="00E05D9F" w:rsidRDefault="00E05D9F">
      <w:pPr>
        <w:spacing w:line="286" w:lineRule="auto"/>
        <w:ind w:left="8"/>
        <w:jc w:val="both"/>
        <w:rPr>
          <w:sz w:val="21"/>
        </w:rPr>
      </w:pPr>
      <w:r>
        <w:rPr>
          <w:sz w:val="21"/>
        </w:rPr>
        <w:t>Beneficjent powinien dobrać wskaźnik(i) wydajności infrastruktury badawczej (np. powierzchnia, roboczogodziny), który najlepiej oddaje charakter i sposób wykorzystania infrastruktury badawczej i który będzie podstawą monitorowania wykorzystania infrastruktury badawczej do działalności gospodarczej. Przyjmowany wskaźnik może być złożony i zawierać rozwiązania, które odnoszą się do więcej niż jednej miary (np. do czasu i powierzchni jednocześnie), jakkolwiek przyjęcie jako podstawy monitorowania wykorzystania infrastruktury kilku wskaźników może wiązać się z koniecznością określenia wag (istotności) poszczególnych wskaźników i wypracowania odpowiedniego algorytmu obliczania zakresu gospodarczego wykorzystania infrastruktury. Dodatkowo wskaźniki wydajności infrastruktury badawczej nie mogą być dobierane w sposób uznaniowy – mają w jak najpełniejszy, zobiektywizowany sposób odpowiadać sposobowi wykorzystania infrastruktury. Wybór określonych wskaźników powinien być poparty odpowiednim uzasadnieniem (stanowiącym np. załącznik do umowy o dofinansowanie projektu).</w:t>
      </w:r>
    </w:p>
    <w:p w14:paraId="3A833397" w14:textId="77777777" w:rsidR="00E05D9F" w:rsidRDefault="00E05D9F">
      <w:pPr>
        <w:spacing w:line="200" w:lineRule="exact"/>
        <w:rPr>
          <w:rFonts w:ascii="Times New Roman" w:eastAsia="Times New Roman" w:hAnsi="Times New Roman"/>
        </w:rPr>
      </w:pPr>
    </w:p>
    <w:p w14:paraId="565EFC39" w14:textId="77777777" w:rsidR="00E05D9F" w:rsidRDefault="00E05D9F">
      <w:pPr>
        <w:spacing w:line="287" w:lineRule="exact"/>
        <w:rPr>
          <w:rFonts w:ascii="Times New Roman" w:eastAsia="Times New Roman" w:hAnsi="Times New Roman"/>
        </w:rPr>
      </w:pPr>
    </w:p>
    <w:p w14:paraId="14FF04C8" w14:textId="77777777" w:rsidR="00E05D9F" w:rsidRDefault="00E05D9F" w:rsidP="00FE1021">
      <w:pPr>
        <w:numPr>
          <w:ilvl w:val="0"/>
          <w:numId w:val="15"/>
        </w:numPr>
        <w:tabs>
          <w:tab w:val="left" w:pos="428"/>
        </w:tabs>
        <w:spacing w:line="0" w:lineRule="atLeast"/>
        <w:ind w:left="428" w:hanging="428"/>
        <w:jc w:val="both"/>
        <w:rPr>
          <w:sz w:val="23"/>
        </w:rPr>
      </w:pPr>
      <w:r>
        <w:rPr>
          <w:b/>
          <w:sz w:val="23"/>
        </w:rPr>
        <w:t>Wskaźniki wybrane do monitorowania</w:t>
      </w:r>
      <w:r>
        <w:rPr>
          <w:sz w:val="23"/>
        </w:rPr>
        <w:t xml:space="preserve"> sposobu wykorzystania infrastruktury są ustalane</w:t>
      </w:r>
    </w:p>
    <w:p w14:paraId="1667199E" w14:textId="77777777" w:rsidR="00E05D9F" w:rsidRDefault="00E05D9F">
      <w:pPr>
        <w:spacing w:line="35" w:lineRule="exact"/>
        <w:rPr>
          <w:rFonts w:ascii="Times New Roman" w:eastAsia="Times New Roman" w:hAnsi="Times New Roman"/>
        </w:rPr>
      </w:pPr>
    </w:p>
    <w:p w14:paraId="0C4E7547" w14:textId="77777777" w:rsidR="00E05D9F" w:rsidRDefault="00E05D9F">
      <w:pPr>
        <w:spacing w:line="0" w:lineRule="atLeast"/>
        <w:ind w:left="8"/>
        <w:rPr>
          <w:sz w:val="23"/>
        </w:rPr>
      </w:pPr>
      <w:r>
        <w:rPr>
          <w:sz w:val="23"/>
        </w:rPr>
        <w:t>w umowie o dofinansowanie projektu (a w przypadku projektów z perspektywy 2007-2013 –</w:t>
      </w:r>
    </w:p>
    <w:p w14:paraId="38F5E515" w14:textId="77777777" w:rsidR="00E05D9F" w:rsidRDefault="00E05D9F">
      <w:pPr>
        <w:spacing w:line="19" w:lineRule="exact"/>
        <w:rPr>
          <w:rFonts w:ascii="Times New Roman" w:eastAsia="Times New Roman" w:hAnsi="Times New Roman"/>
        </w:rPr>
      </w:pPr>
    </w:p>
    <w:p w14:paraId="4C622AA0" w14:textId="77777777" w:rsidR="00E05D9F" w:rsidRDefault="00E05D9F" w:rsidP="00FE1021">
      <w:pPr>
        <w:numPr>
          <w:ilvl w:val="0"/>
          <w:numId w:val="16"/>
        </w:numPr>
        <w:tabs>
          <w:tab w:val="left" w:pos="208"/>
        </w:tabs>
        <w:spacing w:line="0" w:lineRule="atLeast"/>
        <w:ind w:left="208" w:hanging="208"/>
        <w:rPr>
          <w:sz w:val="23"/>
        </w:rPr>
      </w:pPr>
      <w:r>
        <w:rPr>
          <w:sz w:val="23"/>
        </w:rPr>
        <w:t xml:space="preserve">aneksie) i </w:t>
      </w:r>
      <w:r>
        <w:rPr>
          <w:b/>
          <w:sz w:val="23"/>
        </w:rPr>
        <w:t>nie podlegają zmianom w całym okresie monitorowania</w:t>
      </w:r>
      <w:r>
        <w:rPr>
          <w:sz w:val="23"/>
        </w:rPr>
        <w:t>.</w:t>
      </w:r>
    </w:p>
    <w:p w14:paraId="6D0A075A" w14:textId="77777777" w:rsidR="00E05D9F" w:rsidRDefault="00E05D9F">
      <w:pPr>
        <w:spacing w:line="286" w:lineRule="exact"/>
        <w:rPr>
          <w:rFonts w:ascii="Times New Roman" w:eastAsia="Times New Roman" w:hAnsi="Times New Roman"/>
        </w:rPr>
      </w:pPr>
    </w:p>
    <w:p w14:paraId="34C8EF9F" w14:textId="77777777" w:rsidR="00E05D9F" w:rsidRDefault="00E05D9F">
      <w:pPr>
        <w:spacing w:line="285" w:lineRule="auto"/>
        <w:ind w:left="8"/>
        <w:jc w:val="both"/>
        <w:rPr>
          <w:sz w:val="21"/>
        </w:rPr>
      </w:pPr>
      <w:r>
        <w:rPr>
          <w:sz w:val="21"/>
        </w:rPr>
        <w:t>Beneficjent deklaruje wskaźnik(i) wydajności infrastruktury, w oparciu o które będzie monitorował wykorzystanie tej infrastruktury, najpóźniej na etapie podpisywania umowy o dofinansowanie projektu. Instytucja zarządzająca (lub instytucja uprawniona) może na tym etapie zgłosić zastrzeżenia do konstrukcji wskaźnika.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w:t>
      </w:r>
    </w:p>
    <w:p w14:paraId="1B9D7E35" w14:textId="77777777" w:rsidR="00E05D9F" w:rsidRDefault="00E05D9F">
      <w:pPr>
        <w:spacing w:line="31" w:lineRule="exact"/>
        <w:rPr>
          <w:rFonts w:ascii="Times New Roman" w:eastAsia="Times New Roman" w:hAnsi="Times New Roman"/>
        </w:rPr>
      </w:pPr>
    </w:p>
    <w:p w14:paraId="03FF69C2" w14:textId="77777777" w:rsidR="00E05D9F" w:rsidRDefault="00E05D9F" w:rsidP="00FE1021">
      <w:pPr>
        <w:numPr>
          <w:ilvl w:val="0"/>
          <w:numId w:val="17"/>
        </w:numPr>
        <w:tabs>
          <w:tab w:val="left" w:pos="218"/>
        </w:tabs>
        <w:spacing w:line="245" w:lineRule="auto"/>
        <w:ind w:left="8" w:hanging="8"/>
        <w:jc w:val="both"/>
        <w:rPr>
          <w:sz w:val="23"/>
        </w:rPr>
      </w:pPr>
      <w:r>
        <w:rPr>
          <w:sz w:val="23"/>
        </w:rPr>
        <w:t>tego powodu wybór określonych wskaźników, które będą stanowić podstawę monitorowania sposobu wykorzystania infrastruktury powinien być poparty odpowiednią analizą prowadzącą do</w:t>
      </w:r>
      <w:r w:rsidR="00744C3B">
        <w:rPr>
          <w:sz w:val="23"/>
        </w:rPr>
        <w:t> </w:t>
      </w:r>
      <w:r>
        <w:rPr>
          <w:sz w:val="23"/>
        </w:rPr>
        <w:t>najbardziej uzasadnionego wyboru.</w:t>
      </w:r>
    </w:p>
    <w:p w14:paraId="7888FB49" w14:textId="77777777" w:rsidR="00E05D9F" w:rsidRDefault="00E05D9F">
      <w:pPr>
        <w:spacing w:line="266" w:lineRule="exact"/>
        <w:rPr>
          <w:rFonts w:ascii="Times New Roman" w:eastAsia="Times New Roman" w:hAnsi="Times New Roman"/>
        </w:rPr>
      </w:pPr>
    </w:p>
    <w:p w14:paraId="3A1D081F" w14:textId="77777777" w:rsidR="00E05D9F" w:rsidRDefault="00E05D9F" w:rsidP="00FE1021">
      <w:pPr>
        <w:numPr>
          <w:ilvl w:val="0"/>
          <w:numId w:val="18"/>
        </w:numPr>
        <w:tabs>
          <w:tab w:val="left" w:pos="429"/>
        </w:tabs>
        <w:spacing w:line="249" w:lineRule="auto"/>
        <w:ind w:left="8" w:hanging="8"/>
        <w:jc w:val="both"/>
        <w:rPr>
          <w:sz w:val="23"/>
        </w:rPr>
      </w:pPr>
      <w:r>
        <w:rPr>
          <w:sz w:val="23"/>
        </w:rPr>
        <w:t>Monitorowanie odbywa się na podstawie wybranych wskaźników, z wykorzystaniem dokumentacji finansowo-księgowej oraz innych dokumentów, na podstawie których można potwierdzić proporcje wykorzystania infrastruktury do prowadzenia działalności gospodarczej lub niegospodarczej.</w:t>
      </w:r>
    </w:p>
    <w:p w14:paraId="06CD569F" w14:textId="77777777" w:rsidR="00E05D9F" w:rsidRDefault="00E05D9F">
      <w:pPr>
        <w:spacing w:line="276" w:lineRule="exact"/>
        <w:rPr>
          <w:rFonts w:ascii="Times New Roman" w:eastAsia="Times New Roman" w:hAnsi="Times New Roman"/>
        </w:rPr>
      </w:pPr>
    </w:p>
    <w:p w14:paraId="0E80BE92" w14:textId="77777777" w:rsidR="00E05D9F" w:rsidRDefault="00E05D9F">
      <w:pPr>
        <w:spacing w:line="284" w:lineRule="auto"/>
        <w:ind w:left="8"/>
        <w:jc w:val="both"/>
        <w:rPr>
          <w:sz w:val="21"/>
        </w:rPr>
      </w:pPr>
      <w:r>
        <w:rPr>
          <w:sz w:val="21"/>
        </w:rPr>
        <w:t>Zarówno przepisy rozporządzenia 651/2014, jak i postanowienia Zasad ramowych wymagają, by w przypadku wykorzystywania infrastruktury badawczej do działalności gospodarczej i niegospodarczej, koszty, finansowanie i przychody/dochody były wyraźnie rozdzielone . W związku z tym, wykazywane przez beneficjenta w danym roku proporcje wykorzystania infrastruktur</w:t>
      </w:r>
      <w:r w:rsidR="00744C3B">
        <w:rPr>
          <w:sz w:val="21"/>
        </w:rPr>
        <w:t xml:space="preserve">y </w:t>
      </w:r>
      <w:r>
        <w:rPr>
          <w:sz w:val="21"/>
        </w:rPr>
        <w:t>do</w:t>
      </w:r>
      <w:r w:rsidR="00744C3B">
        <w:rPr>
          <w:sz w:val="21"/>
        </w:rPr>
        <w:t>  </w:t>
      </w:r>
      <w:r>
        <w:rPr>
          <w:sz w:val="21"/>
        </w:rPr>
        <w:t>obu</w:t>
      </w:r>
      <w:r w:rsidR="00744C3B">
        <w:rPr>
          <w:sz w:val="21"/>
        </w:rPr>
        <w:t> </w:t>
      </w:r>
      <w:r>
        <w:rPr>
          <w:sz w:val="21"/>
        </w:rPr>
        <w:t>rodzajów</w:t>
      </w:r>
      <w:r w:rsidR="00744C3B">
        <w:rPr>
          <w:sz w:val="21"/>
        </w:rPr>
        <w:t> </w:t>
      </w:r>
      <w:r>
        <w:rPr>
          <w:sz w:val="21"/>
        </w:rPr>
        <w:t>działalności</w:t>
      </w:r>
      <w:r w:rsidR="00744C3B">
        <w:rPr>
          <w:sz w:val="21"/>
        </w:rPr>
        <w:t> </w:t>
      </w:r>
      <w:r>
        <w:rPr>
          <w:sz w:val="21"/>
        </w:rPr>
        <w:t xml:space="preserve">powinno </w:t>
      </w:r>
      <w:r w:rsidR="00744C3B">
        <w:rPr>
          <w:sz w:val="21"/>
        </w:rPr>
        <w:t xml:space="preserve"> </w:t>
      </w:r>
      <w:r>
        <w:rPr>
          <w:sz w:val="21"/>
        </w:rPr>
        <w:t xml:space="preserve">znaleźć </w:t>
      </w:r>
      <w:r w:rsidR="00744C3B">
        <w:rPr>
          <w:sz w:val="21"/>
        </w:rPr>
        <w:t xml:space="preserve"> </w:t>
      </w:r>
      <w:r>
        <w:rPr>
          <w:sz w:val="21"/>
        </w:rPr>
        <w:t xml:space="preserve">potwierdzenie </w:t>
      </w:r>
      <w:r w:rsidR="00744C3B">
        <w:rPr>
          <w:sz w:val="21"/>
        </w:rPr>
        <w:t xml:space="preserve"> </w:t>
      </w:r>
      <w:r>
        <w:rPr>
          <w:sz w:val="21"/>
        </w:rPr>
        <w:t xml:space="preserve">w </w:t>
      </w:r>
      <w:r w:rsidR="00744C3B">
        <w:rPr>
          <w:sz w:val="21"/>
        </w:rPr>
        <w:t xml:space="preserve"> </w:t>
      </w:r>
      <w:r>
        <w:rPr>
          <w:sz w:val="21"/>
        </w:rPr>
        <w:t xml:space="preserve">stosownych </w:t>
      </w:r>
      <w:r w:rsidR="00744C3B">
        <w:rPr>
          <w:sz w:val="21"/>
        </w:rPr>
        <w:t xml:space="preserve"> </w:t>
      </w:r>
      <w:r>
        <w:rPr>
          <w:sz w:val="21"/>
        </w:rPr>
        <w:t xml:space="preserve">dokumentach </w:t>
      </w:r>
      <w:r w:rsidR="00744C3B">
        <w:rPr>
          <w:sz w:val="21"/>
        </w:rPr>
        <w:t xml:space="preserve">  </w:t>
      </w:r>
      <w:r>
        <w:rPr>
          <w:sz w:val="21"/>
        </w:rPr>
        <w:t>finansowo-</w:t>
      </w:r>
    </w:p>
    <w:p w14:paraId="7C1BB257" w14:textId="77777777" w:rsidR="00E05D9F" w:rsidRDefault="00E05D9F">
      <w:pPr>
        <w:spacing w:line="177" w:lineRule="exact"/>
        <w:rPr>
          <w:rFonts w:ascii="Times New Roman" w:eastAsia="Times New Roman" w:hAnsi="Times New Roman"/>
        </w:rPr>
      </w:pPr>
    </w:p>
    <w:p w14:paraId="4D95A280" w14:textId="77777777" w:rsidR="00E05D9F" w:rsidRDefault="00E05D9F">
      <w:pPr>
        <w:spacing w:line="0" w:lineRule="atLeast"/>
        <w:ind w:left="8988"/>
        <w:rPr>
          <w:sz w:val="18"/>
        </w:rPr>
      </w:pPr>
      <w:r>
        <w:rPr>
          <w:sz w:val="18"/>
        </w:rPr>
        <w:t>6</w:t>
      </w:r>
    </w:p>
    <w:p w14:paraId="0087DBC0" w14:textId="77777777" w:rsidR="00E05D9F" w:rsidRDefault="00E05D9F">
      <w:pPr>
        <w:spacing w:line="0" w:lineRule="atLeast"/>
        <w:ind w:left="8988"/>
        <w:rPr>
          <w:sz w:val="18"/>
        </w:rPr>
        <w:sectPr w:rsidR="00E05D9F" w:rsidSect="00F716F9">
          <w:pgSz w:w="11920" w:h="16845"/>
          <w:pgMar w:top="1440" w:right="1410" w:bottom="1440" w:left="1412" w:header="0" w:footer="68" w:gutter="0"/>
          <w:cols w:space="0" w:equalWidth="0">
            <w:col w:w="9088"/>
          </w:cols>
          <w:docGrid w:linePitch="360"/>
        </w:sectPr>
      </w:pPr>
    </w:p>
    <w:p w14:paraId="770600A8" w14:textId="77777777" w:rsidR="00E05D9F" w:rsidRDefault="00E05D9F">
      <w:pPr>
        <w:framePr w:w="1000" w:h="199" w:hRule="exact" w:wrap="auto" w:vAnchor="page" w:hAnchor="page" w:x="1381" w:y="11303"/>
        <w:spacing w:line="186" w:lineRule="auto"/>
        <w:rPr>
          <w:sz w:val="21"/>
          <w:vertAlign w:val="subscript"/>
        </w:rPr>
      </w:pPr>
      <w:bookmarkStart w:id="6" w:name="page7"/>
      <w:bookmarkEnd w:id="6"/>
      <w:r>
        <w:rPr>
          <w:sz w:val="18"/>
        </w:rPr>
        <w:lastRenderedPageBreak/>
        <w:t>gdzie I</w:t>
      </w:r>
      <w:r>
        <w:rPr>
          <w:sz w:val="21"/>
          <w:vertAlign w:val="subscript"/>
        </w:rPr>
        <w:t>DNG</w:t>
      </w:r>
    </w:p>
    <w:p w14:paraId="3C5417CE" w14:textId="77777777" w:rsidR="00E05D9F" w:rsidRDefault="00E05D9F">
      <w:pPr>
        <w:spacing w:line="13" w:lineRule="exact"/>
        <w:rPr>
          <w:sz w:val="18"/>
        </w:rPr>
      </w:pPr>
    </w:p>
    <w:p w14:paraId="01221913" w14:textId="77777777" w:rsidR="00E05D9F" w:rsidRDefault="00E05D9F">
      <w:pPr>
        <w:spacing w:line="230" w:lineRule="auto"/>
        <w:ind w:left="8"/>
        <w:rPr>
          <w:sz w:val="23"/>
        </w:rPr>
      </w:pPr>
      <w:r>
        <w:rPr>
          <w:sz w:val="23"/>
        </w:rPr>
        <w:t>księgowych oraz – o ile to możliwe – innych dokumentach (np. wydrukach rejestrujących czas wykorzystania urządzeń).</w:t>
      </w:r>
    </w:p>
    <w:p w14:paraId="14289C36" w14:textId="77777777" w:rsidR="00E05D9F" w:rsidRDefault="00E05D9F">
      <w:pPr>
        <w:spacing w:line="200" w:lineRule="exact"/>
        <w:rPr>
          <w:sz w:val="18"/>
        </w:rPr>
      </w:pPr>
    </w:p>
    <w:p w14:paraId="74FD80D5" w14:textId="77777777" w:rsidR="00E05D9F" w:rsidRDefault="00E05D9F">
      <w:pPr>
        <w:spacing w:line="200" w:lineRule="exact"/>
        <w:rPr>
          <w:sz w:val="18"/>
        </w:rPr>
      </w:pPr>
    </w:p>
    <w:p w14:paraId="3C446015" w14:textId="77777777" w:rsidR="00E05D9F" w:rsidRDefault="00E05D9F">
      <w:pPr>
        <w:spacing w:line="200" w:lineRule="exact"/>
        <w:rPr>
          <w:sz w:val="18"/>
        </w:rPr>
      </w:pPr>
    </w:p>
    <w:p w14:paraId="2626C8B1" w14:textId="77777777" w:rsidR="00E05D9F" w:rsidRDefault="00E05D9F">
      <w:pPr>
        <w:spacing w:line="243" w:lineRule="exact"/>
        <w:rPr>
          <w:sz w:val="18"/>
        </w:rPr>
      </w:pPr>
    </w:p>
    <w:p w14:paraId="38EDF795" w14:textId="77777777" w:rsidR="00E05D9F" w:rsidRDefault="00E05D9F" w:rsidP="00FE1021">
      <w:pPr>
        <w:numPr>
          <w:ilvl w:val="0"/>
          <w:numId w:val="19"/>
        </w:numPr>
        <w:tabs>
          <w:tab w:val="left" w:pos="713"/>
        </w:tabs>
        <w:spacing w:line="224" w:lineRule="auto"/>
        <w:ind w:left="8" w:right="20" w:hanging="8"/>
        <w:rPr>
          <w:b/>
          <w:sz w:val="23"/>
        </w:rPr>
      </w:pPr>
      <w:r>
        <w:rPr>
          <w:b/>
          <w:sz w:val="23"/>
        </w:rPr>
        <w:t>Sposób sprawozdawania o zakresie działalności gospodarczej prowadzonej przez beneficjenta na infrastrukturze</w:t>
      </w:r>
    </w:p>
    <w:p w14:paraId="1C3FDB55" w14:textId="77777777" w:rsidR="00E05D9F" w:rsidRDefault="00E05D9F">
      <w:pPr>
        <w:spacing w:line="152" w:lineRule="exact"/>
        <w:rPr>
          <w:sz w:val="18"/>
        </w:rPr>
      </w:pPr>
    </w:p>
    <w:p w14:paraId="58CE1B4D" w14:textId="77777777" w:rsidR="00E05D9F" w:rsidRDefault="00E05D9F">
      <w:pPr>
        <w:spacing w:line="280" w:lineRule="auto"/>
        <w:ind w:left="8"/>
        <w:jc w:val="both"/>
        <w:rPr>
          <w:sz w:val="21"/>
        </w:rPr>
      </w:pPr>
      <w:r>
        <w:rPr>
          <w:sz w:val="21"/>
        </w:rPr>
        <w:t>Beneficjent ustala z instytucją udzielającą wsparcia szczegółowy sposób sprawozdawania o zakresie prowadzonej działalności gospodarczej, uwzględniając wyznaczone wskaźniki oraz konieczność zapewnienia efektywnego monitorowania w cyklach rocznych, z wykorzystaniem dokumentów wskazanych w punkcie II.6. Postanowienia w tym zakresie muszą zostać zawarte w umowie o</w:t>
      </w:r>
      <w:r w:rsidR="00744C3B">
        <w:rPr>
          <w:sz w:val="21"/>
        </w:rPr>
        <w:t> </w:t>
      </w:r>
      <w:r>
        <w:rPr>
          <w:sz w:val="21"/>
        </w:rPr>
        <w:t>dofinansowanie projektu (a w przypadku projektów z perspektywy 2007-2013 – w aneksie).</w:t>
      </w:r>
    </w:p>
    <w:p w14:paraId="75FA477D" w14:textId="77777777" w:rsidR="00E05D9F" w:rsidRDefault="00E05D9F">
      <w:pPr>
        <w:spacing w:line="200" w:lineRule="exact"/>
        <w:rPr>
          <w:sz w:val="18"/>
        </w:rPr>
      </w:pPr>
    </w:p>
    <w:p w14:paraId="1D95838B" w14:textId="77777777" w:rsidR="00E05D9F" w:rsidRDefault="00E05D9F">
      <w:pPr>
        <w:spacing w:line="200" w:lineRule="exact"/>
        <w:rPr>
          <w:sz w:val="18"/>
        </w:rPr>
      </w:pPr>
    </w:p>
    <w:p w14:paraId="0BE42C2A" w14:textId="77777777" w:rsidR="00E05D9F" w:rsidRDefault="00E05D9F">
      <w:pPr>
        <w:spacing w:line="346" w:lineRule="exact"/>
        <w:rPr>
          <w:sz w:val="18"/>
        </w:rPr>
      </w:pPr>
    </w:p>
    <w:p w14:paraId="4B7EF15E" w14:textId="77777777" w:rsidR="00E05D9F" w:rsidRDefault="00E05D9F">
      <w:pPr>
        <w:tabs>
          <w:tab w:val="left" w:pos="688"/>
        </w:tabs>
        <w:spacing w:line="0" w:lineRule="atLeast"/>
        <w:ind w:left="8"/>
        <w:rPr>
          <w:b/>
          <w:sz w:val="23"/>
        </w:rPr>
      </w:pPr>
      <w:r>
        <w:rPr>
          <w:b/>
          <w:sz w:val="23"/>
        </w:rPr>
        <w:t>IV.</w:t>
      </w:r>
      <w:r>
        <w:rPr>
          <w:rFonts w:ascii="Times New Roman" w:eastAsia="Times New Roman" w:hAnsi="Times New Roman"/>
        </w:rPr>
        <w:tab/>
      </w:r>
      <w:r>
        <w:rPr>
          <w:b/>
          <w:sz w:val="23"/>
        </w:rPr>
        <w:t xml:space="preserve">Zasady stosowania mechanizmu monitorowania i </w:t>
      </w:r>
      <w:r w:rsidR="00744C3B">
        <w:rPr>
          <w:b/>
          <w:sz w:val="23"/>
        </w:rPr>
        <w:t xml:space="preserve"> </w:t>
      </w:r>
      <w:r>
        <w:rPr>
          <w:b/>
          <w:sz w:val="23"/>
        </w:rPr>
        <w:t xml:space="preserve">wycofania </w:t>
      </w:r>
      <w:r w:rsidR="00744C3B">
        <w:rPr>
          <w:b/>
          <w:sz w:val="23"/>
        </w:rPr>
        <w:t xml:space="preserve"> </w:t>
      </w:r>
      <w:r>
        <w:rPr>
          <w:b/>
          <w:sz w:val="23"/>
        </w:rPr>
        <w:t xml:space="preserve">w </w:t>
      </w:r>
      <w:r w:rsidR="00744C3B">
        <w:rPr>
          <w:b/>
          <w:sz w:val="23"/>
        </w:rPr>
        <w:t xml:space="preserve"> </w:t>
      </w:r>
      <w:r>
        <w:rPr>
          <w:b/>
          <w:sz w:val="23"/>
        </w:rPr>
        <w:t>przypadku, gdy umowa</w:t>
      </w:r>
    </w:p>
    <w:p w14:paraId="5FFE8022" w14:textId="77777777" w:rsidR="00E05D9F" w:rsidRDefault="00E05D9F">
      <w:pPr>
        <w:spacing w:line="75" w:lineRule="exact"/>
        <w:rPr>
          <w:sz w:val="18"/>
        </w:rPr>
      </w:pPr>
    </w:p>
    <w:p w14:paraId="41868227" w14:textId="77777777" w:rsidR="00E05D9F" w:rsidRDefault="00E05D9F">
      <w:pPr>
        <w:spacing w:line="254" w:lineRule="auto"/>
        <w:ind w:left="8"/>
        <w:jc w:val="both"/>
        <w:rPr>
          <w:b/>
          <w:sz w:val="23"/>
        </w:rPr>
      </w:pPr>
      <w:r>
        <w:rPr>
          <w:b/>
          <w:sz w:val="23"/>
        </w:rPr>
        <w:t>o dofinansowanie przewiduje wyłącznie niegospodarcze wykorzystanie dofinansowanej infrastruktury (dofinansowanie projektu nie stanowi pomocy publicznej) (dotyczy wyłącznie projektów zrealizowanych w okresie 2007-2013, dla których aneksowano umowę dopuszczając możliwość wykorzystania powstałej infrastruktury do działalności gospodarczej w wymiarze pomocniczym)</w:t>
      </w:r>
    </w:p>
    <w:p w14:paraId="603BD7ED" w14:textId="77777777" w:rsidR="00E05D9F" w:rsidRDefault="00E05D9F">
      <w:pPr>
        <w:spacing w:line="121" w:lineRule="exact"/>
        <w:rPr>
          <w:sz w:val="18"/>
        </w:rPr>
      </w:pPr>
    </w:p>
    <w:p w14:paraId="72D77D0E" w14:textId="77777777" w:rsidR="00E05D9F" w:rsidRDefault="00E05D9F" w:rsidP="00FE1021">
      <w:pPr>
        <w:numPr>
          <w:ilvl w:val="0"/>
          <w:numId w:val="20"/>
        </w:numPr>
        <w:tabs>
          <w:tab w:val="left" w:pos="353"/>
        </w:tabs>
        <w:spacing w:line="280" w:lineRule="auto"/>
        <w:ind w:left="8" w:hanging="8"/>
        <w:jc w:val="both"/>
        <w:rPr>
          <w:sz w:val="21"/>
        </w:rPr>
      </w:pPr>
      <w:r>
        <w:rPr>
          <w:sz w:val="21"/>
        </w:rPr>
        <w:t>przypadku, gdy umowa o dofinansowanie projektu przewiduje wyłącznie niegospodarcze wykorzystanie dofinansowanej infrastruktury badawczej albo prowadzenie działalności gospodarczej jako działalności o czysto pomocniczym charakterze (</w:t>
      </w:r>
      <w:r>
        <w:rPr>
          <w:i/>
          <w:sz w:val="21"/>
        </w:rPr>
        <w:t>ancillary activity</w:t>
      </w:r>
      <w:r>
        <w:rPr>
          <w:sz w:val="21"/>
        </w:rPr>
        <w:t>), mechanizm monitorowania i wycofania powinien być stosowany zgodnie z zasadami opisanymi w poniższym przykładzie.</w:t>
      </w:r>
    </w:p>
    <w:p w14:paraId="4FE579BF" w14:textId="77777777" w:rsidR="00E05D9F" w:rsidRDefault="00E05D9F">
      <w:pPr>
        <w:spacing w:line="189" w:lineRule="exact"/>
        <w:rPr>
          <w:sz w:val="18"/>
        </w:rPr>
      </w:pPr>
    </w:p>
    <w:p w14:paraId="317C7160" w14:textId="77777777" w:rsidR="00E05D9F" w:rsidRDefault="00E05D9F">
      <w:pPr>
        <w:spacing w:line="0" w:lineRule="atLeast"/>
        <w:ind w:left="8"/>
        <w:rPr>
          <w:sz w:val="23"/>
          <w:u w:val="single"/>
        </w:rPr>
      </w:pPr>
      <w:r>
        <w:rPr>
          <w:sz w:val="23"/>
          <w:u w:val="single"/>
        </w:rPr>
        <w:t>Przykład</w:t>
      </w:r>
    </w:p>
    <w:p w14:paraId="0E163350" w14:textId="77777777" w:rsidR="00E05D9F" w:rsidRDefault="00E05D9F">
      <w:pPr>
        <w:spacing w:line="286" w:lineRule="exact"/>
        <w:rPr>
          <w:sz w:val="18"/>
        </w:rPr>
      </w:pPr>
    </w:p>
    <w:p w14:paraId="04BB49D3" w14:textId="77777777" w:rsidR="00E05D9F" w:rsidRDefault="00E05D9F">
      <w:pPr>
        <w:spacing w:line="239" w:lineRule="auto"/>
        <w:ind w:left="8"/>
        <w:jc w:val="both"/>
        <w:rPr>
          <w:sz w:val="23"/>
        </w:rPr>
      </w:pPr>
      <w:r>
        <w:rPr>
          <w:sz w:val="23"/>
        </w:rPr>
        <w:t>Przedsiębiorca otrzymał finansowanie publiczne (FP) niestanowiące pomocy publicznej (z opisu projektu oraz z zawartej umowy wynika, że działalność gospodarcza będzie miała wyłącznie pomocniczy charakter) na zakup/wytworzenie infrastruktury o 10-letnim okresie amortyzacji.</w:t>
      </w:r>
    </w:p>
    <w:p w14:paraId="200BDB40" w14:textId="77777777" w:rsidR="00E05D9F" w:rsidRDefault="00E05D9F">
      <w:pPr>
        <w:spacing w:line="188" w:lineRule="exact"/>
        <w:rPr>
          <w:sz w:val="18"/>
        </w:rPr>
      </w:pPr>
    </w:p>
    <w:p w14:paraId="01E6F78D" w14:textId="77777777" w:rsidR="00E05D9F" w:rsidRDefault="00E05D9F">
      <w:pPr>
        <w:spacing w:line="0" w:lineRule="atLeast"/>
        <w:ind w:left="8"/>
        <w:rPr>
          <w:sz w:val="23"/>
        </w:rPr>
      </w:pPr>
      <w:r>
        <w:rPr>
          <w:b/>
          <w:sz w:val="23"/>
        </w:rPr>
        <w:t>FP</w:t>
      </w:r>
      <w:r>
        <w:rPr>
          <w:sz w:val="23"/>
        </w:rPr>
        <w:t xml:space="preserve"> = </w:t>
      </w:r>
      <w:r>
        <w:rPr>
          <w:b/>
          <w:sz w:val="23"/>
        </w:rPr>
        <w:t>I</w:t>
      </w:r>
      <w:r>
        <w:rPr>
          <w:b/>
          <w:sz w:val="27"/>
          <w:vertAlign w:val="subscript"/>
        </w:rPr>
        <w:t>DNG</w:t>
      </w:r>
      <w:r>
        <w:rPr>
          <w:b/>
          <w:sz w:val="23"/>
        </w:rPr>
        <w:t xml:space="preserve"> x KK</w:t>
      </w:r>
      <w:r>
        <w:rPr>
          <w:sz w:val="23"/>
        </w:rPr>
        <w:t>,</w:t>
      </w:r>
    </w:p>
    <w:p w14:paraId="14B392C6" w14:textId="77777777" w:rsidR="00E05D9F" w:rsidRDefault="00E05D9F">
      <w:pPr>
        <w:spacing w:line="224" w:lineRule="exact"/>
        <w:rPr>
          <w:sz w:val="18"/>
        </w:rPr>
      </w:pPr>
    </w:p>
    <w:p w14:paraId="48127266" w14:textId="77777777" w:rsidR="00E05D9F" w:rsidRDefault="00E05D9F">
      <w:pPr>
        <w:spacing w:line="0" w:lineRule="atLeast"/>
        <w:ind w:left="1048"/>
        <w:rPr>
          <w:sz w:val="23"/>
        </w:rPr>
      </w:pPr>
      <w:r>
        <w:rPr>
          <w:sz w:val="23"/>
        </w:rPr>
        <w:t>- wyrażoną w procentach intensywność dofinansowania infrastruktury ze środków</w:t>
      </w:r>
    </w:p>
    <w:p w14:paraId="06BB93F1" w14:textId="77777777" w:rsidR="00E05D9F" w:rsidRDefault="00E05D9F">
      <w:pPr>
        <w:spacing w:line="75" w:lineRule="exact"/>
        <w:rPr>
          <w:sz w:val="18"/>
        </w:rPr>
      </w:pPr>
    </w:p>
    <w:p w14:paraId="652732B4" w14:textId="77777777" w:rsidR="00E05D9F" w:rsidRDefault="00E05D9F">
      <w:pPr>
        <w:spacing w:line="230" w:lineRule="auto"/>
        <w:ind w:left="8" w:right="40"/>
        <w:rPr>
          <w:sz w:val="23"/>
        </w:rPr>
      </w:pPr>
      <w:r>
        <w:rPr>
          <w:sz w:val="23"/>
        </w:rPr>
        <w:t>publicznych w zakresie działalności niegospodarczej (dofinansowanie niestanowiące pomocy publicznej), KK – koszty kwalifikowalne.</w:t>
      </w:r>
    </w:p>
    <w:p w14:paraId="2BD11F66" w14:textId="77777777" w:rsidR="00E05D9F" w:rsidRDefault="00E05D9F">
      <w:pPr>
        <w:spacing w:line="288" w:lineRule="exact"/>
        <w:rPr>
          <w:sz w:val="18"/>
        </w:rPr>
      </w:pPr>
    </w:p>
    <w:p w14:paraId="10AE5723" w14:textId="77777777" w:rsidR="00E05D9F" w:rsidRDefault="00E05D9F">
      <w:pPr>
        <w:spacing w:line="224" w:lineRule="auto"/>
        <w:ind w:left="8" w:right="20"/>
        <w:rPr>
          <w:sz w:val="23"/>
        </w:rPr>
      </w:pPr>
      <w:r>
        <w:rPr>
          <w:sz w:val="23"/>
        </w:rPr>
        <w:t>Zastosowany mechanizm monitorowania wskazuje następujące proporcje poszczególnych typów działalności prowadzonej na infrastrukturze:</w:t>
      </w:r>
    </w:p>
    <w:p w14:paraId="0B518D58" w14:textId="77777777" w:rsidR="00E05D9F" w:rsidRDefault="00E05D9F">
      <w:pPr>
        <w:spacing w:line="230" w:lineRule="exact"/>
        <w:rPr>
          <w:sz w:val="18"/>
        </w:rPr>
      </w:pPr>
    </w:p>
    <w:p w14:paraId="52A82237" w14:textId="77777777" w:rsidR="00E05D9F" w:rsidRDefault="00E05D9F">
      <w:pPr>
        <w:spacing w:line="0" w:lineRule="atLeast"/>
        <w:ind w:left="8"/>
        <w:rPr>
          <w:sz w:val="23"/>
        </w:rPr>
      </w:pPr>
      <w:r>
        <w:rPr>
          <w:sz w:val="23"/>
        </w:rPr>
        <w:t>Rok 1: 98% działalność niegospodarcza; 2% działalność gospodarcza – brak pomocy publicznej</w:t>
      </w:r>
    </w:p>
    <w:p w14:paraId="17356921" w14:textId="77777777" w:rsidR="00E05D9F" w:rsidRDefault="00E05D9F">
      <w:pPr>
        <w:spacing w:line="110" w:lineRule="exact"/>
        <w:rPr>
          <w:sz w:val="18"/>
        </w:rPr>
      </w:pPr>
    </w:p>
    <w:p w14:paraId="770EE5F6" w14:textId="77777777" w:rsidR="00E05D9F" w:rsidRDefault="00E05D9F">
      <w:pPr>
        <w:spacing w:line="0" w:lineRule="atLeast"/>
        <w:ind w:left="8"/>
        <w:rPr>
          <w:sz w:val="23"/>
        </w:rPr>
      </w:pPr>
      <w:r>
        <w:rPr>
          <w:sz w:val="23"/>
        </w:rPr>
        <w:t>Rok 2: 88% działalność niegospodarcza; 12% działalność gospodarcza – brak pomocy publicznej</w:t>
      </w:r>
    </w:p>
    <w:p w14:paraId="1198F971" w14:textId="77777777" w:rsidR="00E05D9F" w:rsidRDefault="00E05D9F">
      <w:pPr>
        <w:spacing w:line="109" w:lineRule="exact"/>
        <w:rPr>
          <w:sz w:val="18"/>
        </w:rPr>
      </w:pPr>
    </w:p>
    <w:p w14:paraId="34A62D42" w14:textId="77777777" w:rsidR="00E05D9F" w:rsidRDefault="00E05D9F">
      <w:pPr>
        <w:spacing w:line="0" w:lineRule="atLeast"/>
        <w:ind w:left="8"/>
        <w:rPr>
          <w:sz w:val="23"/>
        </w:rPr>
      </w:pPr>
      <w:r>
        <w:rPr>
          <w:sz w:val="23"/>
        </w:rPr>
        <w:t>Rok 3: 92% działalność niegospodarcza; 8% działalność gospodarcza – brak pomocy publicznej</w:t>
      </w:r>
    </w:p>
    <w:p w14:paraId="66230235" w14:textId="77777777" w:rsidR="00E05D9F" w:rsidRDefault="00E05D9F">
      <w:pPr>
        <w:spacing w:line="110" w:lineRule="exact"/>
        <w:rPr>
          <w:sz w:val="18"/>
        </w:rPr>
      </w:pPr>
    </w:p>
    <w:p w14:paraId="6818A529" w14:textId="77777777" w:rsidR="00E05D9F" w:rsidRDefault="00E05D9F">
      <w:pPr>
        <w:spacing w:line="0" w:lineRule="atLeast"/>
        <w:ind w:left="8"/>
        <w:rPr>
          <w:sz w:val="23"/>
        </w:rPr>
      </w:pPr>
      <w:r>
        <w:rPr>
          <w:sz w:val="23"/>
        </w:rPr>
        <w:t>Rok 4: 83% działalność niegospodarcza; 17% działalność gospodarcza – brak pomocy publicznej</w:t>
      </w:r>
    </w:p>
    <w:p w14:paraId="1485040B" w14:textId="77777777" w:rsidR="00E05D9F" w:rsidRDefault="00E05D9F">
      <w:pPr>
        <w:spacing w:line="28" w:lineRule="exact"/>
        <w:rPr>
          <w:sz w:val="18"/>
        </w:rPr>
      </w:pPr>
    </w:p>
    <w:p w14:paraId="4DF8CDEC" w14:textId="77777777" w:rsidR="00E05D9F" w:rsidRDefault="00E05D9F">
      <w:pPr>
        <w:spacing w:line="0" w:lineRule="atLeast"/>
        <w:ind w:left="8988"/>
        <w:rPr>
          <w:sz w:val="18"/>
        </w:rPr>
      </w:pPr>
      <w:r>
        <w:rPr>
          <w:sz w:val="18"/>
        </w:rPr>
        <w:t>7</w:t>
      </w:r>
    </w:p>
    <w:p w14:paraId="5D00ABDA" w14:textId="77777777" w:rsidR="00E05D9F" w:rsidRDefault="00E05D9F">
      <w:pPr>
        <w:spacing w:line="0" w:lineRule="atLeast"/>
        <w:ind w:left="8988"/>
        <w:rPr>
          <w:sz w:val="18"/>
        </w:rPr>
        <w:sectPr w:rsidR="00E05D9F" w:rsidSect="00F716F9">
          <w:pgSz w:w="11920" w:h="16845"/>
          <w:pgMar w:top="1440" w:right="1410" w:bottom="1440" w:left="1412" w:header="0" w:footer="68" w:gutter="0"/>
          <w:cols w:space="0" w:equalWidth="0">
            <w:col w:w="9088"/>
          </w:cols>
          <w:docGrid w:linePitch="360"/>
        </w:sectPr>
      </w:pPr>
    </w:p>
    <w:p w14:paraId="7DCDB138" w14:textId="77777777" w:rsidR="00E05D9F" w:rsidRDefault="00E05D9F">
      <w:pPr>
        <w:spacing w:line="0" w:lineRule="atLeast"/>
        <w:ind w:left="8"/>
        <w:rPr>
          <w:sz w:val="23"/>
        </w:rPr>
      </w:pPr>
      <w:bookmarkStart w:id="7" w:name="page8"/>
      <w:bookmarkEnd w:id="7"/>
      <w:r>
        <w:rPr>
          <w:sz w:val="23"/>
        </w:rPr>
        <w:lastRenderedPageBreak/>
        <w:t>Rok 5: 72% działalność niegospodarcza; 28% działalność gospodarcza – pomoc publiczna</w:t>
      </w:r>
    </w:p>
    <w:p w14:paraId="5714A82E" w14:textId="77777777" w:rsidR="00E05D9F" w:rsidRDefault="00E05D9F">
      <w:pPr>
        <w:spacing w:line="110" w:lineRule="exact"/>
        <w:rPr>
          <w:rFonts w:ascii="Times New Roman" w:eastAsia="Times New Roman" w:hAnsi="Times New Roman"/>
        </w:rPr>
      </w:pPr>
    </w:p>
    <w:p w14:paraId="4E84C9D9" w14:textId="77777777" w:rsidR="00E05D9F" w:rsidRDefault="00E05D9F">
      <w:pPr>
        <w:spacing w:line="0" w:lineRule="atLeast"/>
        <w:ind w:left="8"/>
        <w:rPr>
          <w:sz w:val="23"/>
        </w:rPr>
      </w:pPr>
      <w:r>
        <w:rPr>
          <w:sz w:val="23"/>
        </w:rPr>
        <w:t>Rok 6: (…)</w:t>
      </w:r>
    </w:p>
    <w:p w14:paraId="57405B34" w14:textId="77777777" w:rsidR="00E05D9F" w:rsidRDefault="00E05D9F">
      <w:pPr>
        <w:spacing w:line="109" w:lineRule="exact"/>
        <w:rPr>
          <w:rFonts w:ascii="Times New Roman" w:eastAsia="Times New Roman" w:hAnsi="Times New Roman"/>
        </w:rPr>
      </w:pPr>
    </w:p>
    <w:p w14:paraId="5AF7BDC5" w14:textId="77777777" w:rsidR="00E05D9F" w:rsidRDefault="00E05D9F">
      <w:pPr>
        <w:spacing w:line="0" w:lineRule="atLeast"/>
        <w:ind w:left="8"/>
        <w:rPr>
          <w:sz w:val="23"/>
        </w:rPr>
      </w:pPr>
      <w:r>
        <w:rPr>
          <w:sz w:val="23"/>
        </w:rPr>
        <w:t>Rok 7: (…)</w:t>
      </w:r>
    </w:p>
    <w:p w14:paraId="6D380D46" w14:textId="77777777" w:rsidR="00E05D9F" w:rsidRDefault="00E05D9F">
      <w:pPr>
        <w:spacing w:line="110" w:lineRule="exact"/>
        <w:rPr>
          <w:rFonts w:ascii="Times New Roman" w:eastAsia="Times New Roman" w:hAnsi="Times New Roman"/>
        </w:rPr>
      </w:pPr>
    </w:p>
    <w:p w14:paraId="1A62270D" w14:textId="77777777" w:rsidR="00E05D9F" w:rsidRDefault="00E05D9F">
      <w:pPr>
        <w:spacing w:line="0" w:lineRule="atLeast"/>
        <w:ind w:left="8"/>
        <w:rPr>
          <w:sz w:val="23"/>
        </w:rPr>
      </w:pPr>
      <w:r>
        <w:rPr>
          <w:sz w:val="23"/>
        </w:rPr>
        <w:t>Rok 8: (…)</w:t>
      </w:r>
    </w:p>
    <w:p w14:paraId="4280D180" w14:textId="77777777" w:rsidR="00E05D9F" w:rsidRDefault="00E05D9F">
      <w:pPr>
        <w:spacing w:line="110" w:lineRule="exact"/>
        <w:rPr>
          <w:rFonts w:ascii="Times New Roman" w:eastAsia="Times New Roman" w:hAnsi="Times New Roman"/>
        </w:rPr>
      </w:pPr>
    </w:p>
    <w:p w14:paraId="62F1E2AE" w14:textId="77777777" w:rsidR="00E05D9F" w:rsidRDefault="00E05D9F">
      <w:pPr>
        <w:spacing w:line="0" w:lineRule="atLeast"/>
        <w:ind w:left="8"/>
        <w:rPr>
          <w:sz w:val="23"/>
        </w:rPr>
      </w:pPr>
      <w:r>
        <w:rPr>
          <w:sz w:val="23"/>
        </w:rPr>
        <w:t>Rok 9: (…)</w:t>
      </w:r>
    </w:p>
    <w:p w14:paraId="74921C7A" w14:textId="77777777" w:rsidR="00E05D9F" w:rsidRDefault="00E05D9F">
      <w:pPr>
        <w:spacing w:line="109" w:lineRule="exact"/>
        <w:rPr>
          <w:rFonts w:ascii="Times New Roman" w:eastAsia="Times New Roman" w:hAnsi="Times New Roman"/>
        </w:rPr>
      </w:pPr>
    </w:p>
    <w:p w14:paraId="245B6A69" w14:textId="77777777" w:rsidR="00E05D9F" w:rsidRDefault="00E05D9F">
      <w:pPr>
        <w:spacing w:line="0" w:lineRule="atLeast"/>
        <w:ind w:left="8"/>
        <w:rPr>
          <w:sz w:val="23"/>
        </w:rPr>
      </w:pPr>
      <w:r>
        <w:rPr>
          <w:sz w:val="23"/>
        </w:rPr>
        <w:t>Rok 10: (…)</w:t>
      </w:r>
    </w:p>
    <w:p w14:paraId="620DFBCF" w14:textId="77777777" w:rsidR="00E05D9F" w:rsidRDefault="00E05D9F">
      <w:pPr>
        <w:spacing w:line="230" w:lineRule="exact"/>
        <w:rPr>
          <w:rFonts w:ascii="Times New Roman" w:eastAsia="Times New Roman" w:hAnsi="Times New Roman"/>
        </w:rPr>
      </w:pPr>
    </w:p>
    <w:p w14:paraId="4D8220D8" w14:textId="77777777" w:rsidR="00E05D9F" w:rsidRDefault="00E05D9F">
      <w:pPr>
        <w:spacing w:line="0" w:lineRule="atLeast"/>
        <w:ind w:left="8"/>
        <w:rPr>
          <w:sz w:val="23"/>
          <w:u w:val="single"/>
        </w:rPr>
      </w:pPr>
      <w:r>
        <w:rPr>
          <w:sz w:val="23"/>
          <w:u w:val="single"/>
        </w:rPr>
        <w:t>Mechanizm wyliczania kwoty podlegającej zwrotowi przez beneficjenta:</w:t>
      </w:r>
    </w:p>
    <w:p w14:paraId="1432E6D9" w14:textId="77777777" w:rsidR="00E05D9F" w:rsidRDefault="00E05D9F">
      <w:pPr>
        <w:spacing w:line="286" w:lineRule="exact"/>
        <w:rPr>
          <w:rFonts w:ascii="Times New Roman" w:eastAsia="Times New Roman" w:hAnsi="Times New Roman"/>
        </w:rPr>
      </w:pPr>
    </w:p>
    <w:p w14:paraId="7FCEC747" w14:textId="77777777" w:rsidR="00E05D9F" w:rsidRDefault="00E05D9F">
      <w:pPr>
        <w:spacing w:line="239" w:lineRule="auto"/>
        <w:ind w:left="8"/>
        <w:jc w:val="both"/>
        <w:rPr>
          <w:sz w:val="23"/>
        </w:rPr>
      </w:pPr>
      <w:r>
        <w:rPr>
          <w:sz w:val="23"/>
        </w:rPr>
        <w:t>Przy założeniu, że całkowite koszty kwalifikowalne infrastruktury wynoszą 10 000 000 zł i</w:t>
      </w:r>
      <w:r w:rsidR="00027525">
        <w:rPr>
          <w:sz w:val="23"/>
        </w:rPr>
        <w:t> </w:t>
      </w:r>
      <w:r>
        <w:rPr>
          <w:sz w:val="23"/>
        </w:rPr>
        <w:t>udzielono wsparcia w maksymalnej wielkości dopuszczalnej dla działalności niegospodarczej, czyli 100% kosztów, beneficjent otrzymał:</w:t>
      </w:r>
    </w:p>
    <w:p w14:paraId="3ABFF4B1" w14:textId="77777777" w:rsidR="00E05D9F" w:rsidRDefault="00E05D9F">
      <w:pPr>
        <w:spacing w:line="231" w:lineRule="exact"/>
        <w:rPr>
          <w:rFonts w:ascii="Times New Roman" w:eastAsia="Times New Roman" w:hAnsi="Times New Roman"/>
        </w:rPr>
      </w:pPr>
    </w:p>
    <w:p w14:paraId="711AF48D" w14:textId="77777777" w:rsidR="00E05D9F" w:rsidRDefault="00E05D9F">
      <w:pPr>
        <w:spacing w:line="0" w:lineRule="atLeast"/>
        <w:ind w:left="8"/>
        <w:rPr>
          <w:sz w:val="23"/>
        </w:rPr>
      </w:pPr>
      <w:r>
        <w:rPr>
          <w:sz w:val="23"/>
        </w:rPr>
        <w:t>FP = 100% x 10 000 000 zł = 10 000 000 zł</w:t>
      </w:r>
    </w:p>
    <w:p w14:paraId="3224C5A7" w14:textId="77777777" w:rsidR="00E05D9F" w:rsidRDefault="00E05D9F">
      <w:pPr>
        <w:spacing w:line="230" w:lineRule="exact"/>
        <w:rPr>
          <w:rFonts w:ascii="Times New Roman" w:eastAsia="Times New Roman" w:hAnsi="Times New Roman"/>
        </w:rPr>
      </w:pPr>
    </w:p>
    <w:p w14:paraId="47BF5808" w14:textId="77777777" w:rsidR="00E05D9F" w:rsidRDefault="00E05D9F">
      <w:pPr>
        <w:spacing w:line="0" w:lineRule="atLeast"/>
        <w:ind w:left="8"/>
        <w:rPr>
          <w:sz w:val="23"/>
        </w:rPr>
      </w:pPr>
      <w:r>
        <w:rPr>
          <w:sz w:val="23"/>
        </w:rPr>
        <w:t>finansowania publicznego niestanowiącego pomocy publicznej.</w:t>
      </w:r>
    </w:p>
    <w:p w14:paraId="12A105DF" w14:textId="77777777" w:rsidR="00E05D9F" w:rsidRDefault="00E05D9F">
      <w:pPr>
        <w:spacing w:line="286" w:lineRule="exact"/>
        <w:rPr>
          <w:rFonts w:ascii="Times New Roman" w:eastAsia="Times New Roman" w:hAnsi="Times New Roman"/>
        </w:rPr>
      </w:pPr>
    </w:p>
    <w:p w14:paraId="466B031E" w14:textId="77777777" w:rsidR="00E05D9F" w:rsidRDefault="00E05D9F">
      <w:pPr>
        <w:spacing w:line="273" w:lineRule="auto"/>
        <w:ind w:left="8" w:right="20"/>
        <w:jc w:val="both"/>
        <w:rPr>
          <w:sz w:val="21"/>
        </w:rPr>
      </w:pPr>
      <w:r>
        <w:rPr>
          <w:sz w:val="21"/>
        </w:rPr>
        <w:t>Mając na względzie konieczność monitorowania wykorzystania zasobów infrastruktury w cyklach rocznych, udzielone dofinansowanie oraz koszty kwalifikowalne infrastruktury należy podzielić przez liczbę lat odpowiadających okresowi amortyzacji infrastruktury – w omawianym przykładzie: 10.</w:t>
      </w:r>
    </w:p>
    <w:p w14:paraId="12637E34" w14:textId="77777777" w:rsidR="00E05D9F" w:rsidRDefault="00E05D9F">
      <w:pPr>
        <w:spacing w:line="195" w:lineRule="exact"/>
        <w:rPr>
          <w:rFonts w:ascii="Times New Roman" w:eastAsia="Times New Roman" w:hAnsi="Times New Roman"/>
        </w:rPr>
      </w:pPr>
    </w:p>
    <w:p w14:paraId="0DED3E60" w14:textId="77777777" w:rsidR="00E05D9F" w:rsidRDefault="00E05D9F">
      <w:pPr>
        <w:spacing w:line="0" w:lineRule="atLeast"/>
        <w:ind w:left="8"/>
        <w:rPr>
          <w:sz w:val="23"/>
        </w:rPr>
      </w:pPr>
      <w:r>
        <w:rPr>
          <w:sz w:val="23"/>
        </w:rPr>
        <w:t>„Roczna alokacja” kosztów kwalifikowalnych (RKK) wynosi:</w:t>
      </w:r>
    </w:p>
    <w:p w14:paraId="617EA62A" w14:textId="77777777" w:rsidR="00E05D9F" w:rsidRDefault="00E05D9F">
      <w:pPr>
        <w:spacing w:line="230" w:lineRule="exact"/>
        <w:rPr>
          <w:rFonts w:ascii="Times New Roman" w:eastAsia="Times New Roman" w:hAnsi="Times New Roman"/>
        </w:rPr>
      </w:pPr>
    </w:p>
    <w:p w14:paraId="52B9896D" w14:textId="77777777" w:rsidR="00E05D9F" w:rsidRDefault="00E05D9F">
      <w:pPr>
        <w:spacing w:line="0" w:lineRule="atLeast"/>
        <w:ind w:left="8"/>
        <w:rPr>
          <w:sz w:val="23"/>
        </w:rPr>
      </w:pPr>
      <w:r>
        <w:rPr>
          <w:sz w:val="23"/>
        </w:rPr>
        <w:t>RKK = 1/10 x 10 000 000 zł = 1 000 000 zł,</w:t>
      </w:r>
    </w:p>
    <w:p w14:paraId="32D9F137" w14:textId="77777777" w:rsidR="00E05D9F" w:rsidRDefault="00E05D9F">
      <w:pPr>
        <w:spacing w:line="286" w:lineRule="exact"/>
        <w:rPr>
          <w:rFonts w:ascii="Times New Roman" w:eastAsia="Times New Roman" w:hAnsi="Times New Roman"/>
        </w:rPr>
      </w:pPr>
    </w:p>
    <w:p w14:paraId="6E07A3EB" w14:textId="77777777" w:rsidR="00E05D9F" w:rsidRDefault="00E05D9F" w:rsidP="00FE1021">
      <w:pPr>
        <w:numPr>
          <w:ilvl w:val="0"/>
          <w:numId w:val="21"/>
        </w:numPr>
        <w:tabs>
          <w:tab w:val="left" w:pos="158"/>
        </w:tabs>
        <w:spacing w:line="251" w:lineRule="auto"/>
        <w:ind w:left="8" w:hanging="8"/>
        <w:jc w:val="both"/>
        <w:rPr>
          <w:sz w:val="21"/>
        </w:rPr>
      </w:pPr>
      <w:r>
        <w:rPr>
          <w:sz w:val="21"/>
        </w:rPr>
        <w:t>„roczna alokacja” udzielonego finansowania publicznego (RFP) – w niniejszym przypadku odpowiada w</w:t>
      </w:r>
      <w:r w:rsidR="00027525">
        <w:rPr>
          <w:sz w:val="21"/>
        </w:rPr>
        <w:t> </w:t>
      </w:r>
      <w:r>
        <w:rPr>
          <w:sz w:val="21"/>
        </w:rPr>
        <w:t>całości wartości rocznej alokacji finansowania publicznego w zakresie działalności niegospodarczej</w:t>
      </w:r>
    </w:p>
    <w:p w14:paraId="36285F84" w14:textId="77777777" w:rsidR="00E05D9F" w:rsidRDefault="00E05D9F">
      <w:pPr>
        <w:spacing w:line="23" w:lineRule="exact"/>
        <w:rPr>
          <w:sz w:val="21"/>
        </w:rPr>
      </w:pPr>
    </w:p>
    <w:p w14:paraId="45E50938" w14:textId="77777777" w:rsidR="00E05D9F" w:rsidRDefault="00E05D9F">
      <w:pPr>
        <w:spacing w:line="0" w:lineRule="atLeast"/>
        <w:ind w:left="8"/>
        <w:rPr>
          <w:sz w:val="23"/>
        </w:rPr>
      </w:pPr>
      <w:r>
        <w:rPr>
          <w:sz w:val="23"/>
        </w:rPr>
        <w:t>(RFPDNG) wynosi:</w:t>
      </w:r>
    </w:p>
    <w:p w14:paraId="7E9F8102" w14:textId="77777777" w:rsidR="00E05D9F" w:rsidRDefault="00E05D9F">
      <w:pPr>
        <w:spacing w:line="230" w:lineRule="exact"/>
        <w:rPr>
          <w:rFonts w:ascii="Times New Roman" w:eastAsia="Times New Roman" w:hAnsi="Times New Roman"/>
        </w:rPr>
      </w:pPr>
    </w:p>
    <w:p w14:paraId="4825177F" w14:textId="77777777" w:rsidR="00E05D9F" w:rsidRDefault="00E05D9F">
      <w:pPr>
        <w:spacing w:line="0" w:lineRule="atLeast"/>
        <w:ind w:left="8"/>
        <w:rPr>
          <w:sz w:val="23"/>
        </w:rPr>
      </w:pPr>
      <w:r>
        <w:rPr>
          <w:sz w:val="23"/>
        </w:rPr>
        <w:t>RFP = RFPDNG = 1/10 x 10 000 000 zł = 1 000 000 zł.</w:t>
      </w:r>
    </w:p>
    <w:p w14:paraId="52034105" w14:textId="77777777" w:rsidR="00E05D9F" w:rsidRDefault="00E05D9F">
      <w:pPr>
        <w:spacing w:line="286" w:lineRule="exact"/>
        <w:rPr>
          <w:rFonts w:ascii="Times New Roman" w:eastAsia="Times New Roman" w:hAnsi="Times New Roman"/>
        </w:rPr>
      </w:pPr>
    </w:p>
    <w:p w14:paraId="61E24D82" w14:textId="77777777" w:rsidR="00E05D9F" w:rsidRDefault="00E05D9F">
      <w:pPr>
        <w:spacing w:line="255" w:lineRule="auto"/>
        <w:ind w:left="8" w:right="20"/>
        <w:jc w:val="both"/>
        <w:rPr>
          <w:sz w:val="23"/>
        </w:rPr>
      </w:pPr>
      <w:r>
        <w:rPr>
          <w:sz w:val="23"/>
        </w:rPr>
        <w:t>Jako że dopuszczalny limit pomocniczej działalności gospodarczej został przekroczony w roku 5, działalność gospodarcza wykonywana na infrastrukturze w tym roku nie może być uznana za</w:t>
      </w:r>
      <w:r w:rsidR="00027525">
        <w:rPr>
          <w:sz w:val="23"/>
        </w:rPr>
        <w:t> </w:t>
      </w:r>
      <w:r>
        <w:rPr>
          <w:sz w:val="23"/>
        </w:rPr>
        <w:t>działalność pomocniczą i całe 28% działalności gospodarczej musi zostać uznane za działalność gospodarczą sensu stricto podlegającą zasadom pomocy publicznej. Mając jednocześnie na</w:t>
      </w:r>
      <w:r w:rsidR="004C3C3B">
        <w:rPr>
          <w:sz w:val="23"/>
        </w:rPr>
        <w:t> </w:t>
      </w:r>
      <w:r>
        <w:rPr>
          <w:sz w:val="23"/>
        </w:rPr>
        <w:t>względzie, że na infrastrukturę badawczą wykorzystywaną do celów gospodarczych można otrzymać pomoc publiczną wynoszącą 50% kosztów kwalifikowalnych, dofinansowanie przypadające na rok 5 powinno być zredukowane w następujący sposób:</w:t>
      </w:r>
    </w:p>
    <w:p w14:paraId="41C45542" w14:textId="77777777" w:rsidR="00E05D9F" w:rsidRDefault="00E05D9F">
      <w:pPr>
        <w:spacing w:line="269" w:lineRule="exact"/>
        <w:rPr>
          <w:rFonts w:ascii="Times New Roman" w:eastAsia="Times New Roman" w:hAnsi="Times New Roman"/>
        </w:rPr>
      </w:pPr>
    </w:p>
    <w:p w14:paraId="2407A76F" w14:textId="77777777" w:rsidR="00E05D9F" w:rsidRDefault="00E05D9F" w:rsidP="00FE1021">
      <w:pPr>
        <w:numPr>
          <w:ilvl w:val="0"/>
          <w:numId w:val="22"/>
        </w:numPr>
        <w:tabs>
          <w:tab w:val="left" w:pos="307"/>
        </w:tabs>
        <w:spacing w:line="214" w:lineRule="auto"/>
        <w:ind w:left="8" w:right="20" w:hanging="8"/>
        <w:jc w:val="both"/>
        <w:rPr>
          <w:sz w:val="23"/>
        </w:rPr>
      </w:pPr>
      <w:r>
        <w:rPr>
          <w:sz w:val="23"/>
        </w:rPr>
        <w:t>należy wyliczyć kwotę finansowania publicznego przypadającą na finansowanie działalności niegospodarczej (RFPDNG</w:t>
      </w:r>
      <w:r>
        <w:rPr>
          <w:sz w:val="27"/>
          <w:vertAlign w:val="subscript"/>
        </w:rPr>
        <w:t>n</w:t>
      </w:r>
      <w:r>
        <w:rPr>
          <w:sz w:val="23"/>
        </w:rPr>
        <w:t>) w danym roku:</w:t>
      </w:r>
    </w:p>
    <w:p w14:paraId="54AF1AB9" w14:textId="77777777" w:rsidR="00E05D9F" w:rsidRDefault="00E05D9F">
      <w:pPr>
        <w:spacing w:line="183" w:lineRule="exact"/>
        <w:rPr>
          <w:rFonts w:ascii="Times New Roman" w:eastAsia="Times New Roman" w:hAnsi="Times New Roman"/>
        </w:rPr>
      </w:pPr>
    </w:p>
    <w:p w14:paraId="5CA11D65" w14:textId="77777777" w:rsidR="00E05D9F" w:rsidRPr="00C36DA5" w:rsidRDefault="00E05D9F">
      <w:pPr>
        <w:spacing w:line="0" w:lineRule="atLeast"/>
        <w:ind w:left="8"/>
        <w:rPr>
          <w:sz w:val="23"/>
          <w:lang w:val="en-US"/>
        </w:rPr>
      </w:pPr>
      <w:r w:rsidRPr="00C36DA5">
        <w:rPr>
          <w:b/>
          <w:sz w:val="23"/>
          <w:lang w:val="en-US"/>
        </w:rPr>
        <w:t>RFPDNG</w:t>
      </w:r>
      <w:r w:rsidRPr="00C36DA5">
        <w:rPr>
          <w:b/>
          <w:sz w:val="27"/>
          <w:vertAlign w:val="subscript"/>
          <w:lang w:val="en-US"/>
        </w:rPr>
        <w:t>n</w:t>
      </w:r>
      <w:r w:rsidRPr="00C36DA5">
        <w:rPr>
          <w:b/>
          <w:sz w:val="23"/>
          <w:lang w:val="en-US"/>
        </w:rPr>
        <w:t xml:space="preserve"> = DNG</w:t>
      </w:r>
      <w:r w:rsidRPr="00C36DA5">
        <w:rPr>
          <w:b/>
          <w:sz w:val="27"/>
          <w:vertAlign w:val="subscript"/>
          <w:lang w:val="en-US"/>
        </w:rPr>
        <w:t>n</w:t>
      </w:r>
      <w:r w:rsidRPr="00C36DA5">
        <w:rPr>
          <w:b/>
          <w:sz w:val="23"/>
          <w:lang w:val="en-US"/>
        </w:rPr>
        <w:t xml:space="preserve"> x I</w:t>
      </w:r>
      <w:r w:rsidRPr="00C36DA5">
        <w:rPr>
          <w:b/>
          <w:sz w:val="27"/>
          <w:vertAlign w:val="subscript"/>
          <w:lang w:val="en-US"/>
        </w:rPr>
        <w:t>DNG</w:t>
      </w:r>
      <w:r w:rsidRPr="00C36DA5">
        <w:rPr>
          <w:b/>
          <w:sz w:val="23"/>
          <w:lang w:val="en-US"/>
        </w:rPr>
        <w:t xml:space="preserve"> x RKK</w:t>
      </w:r>
      <w:r w:rsidRPr="00C36DA5">
        <w:rPr>
          <w:sz w:val="23"/>
          <w:lang w:val="en-US"/>
        </w:rPr>
        <w:t>,</w:t>
      </w:r>
    </w:p>
    <w:p w14:paraId="2BF1A500" w14:textId="77777777" w:rsidR="00E05D9F" w:rsidRPr="00C36DA5" w:rsidRDefault="00E05D9F">
      <w:pPr>
        <w:spacing w:line="225" w:lineRule="exact"/>
        <w:rPr>
          <w:rFonts w:ascii="Times New Roman" w:eastAsia="Times New Roman" w:hAnsi="Times New Roman"/>
          <w:lang w:val="en-US"/>
        </w:rPr>
      </w:pPr>
    </w:p>
    <w:p w14:paraId="7053CDC2" w14:textId="77777777" w:rsidR="00E05D9F" w:rsidRDefault="00E05D9F" w:rsidP="00027525">
      <w:pPr>
        <w:spacing w:line="230" w:lineRule="auto"/>
        <w:ind w:left="8" w:right="20"/>
        <w:jc w:val="both"/>
        <w:rPr>
          <w:sz w:val="21"/>
        </w:rPr>
      </w:pPr>
      <w:r>
        <w:rPr>
          <w:sz w:val="21"/>
        </w:rPr>
        <w:t>gdzie DNG</w:t>
      </w:r>
      <w:r>
        <w:rPr>
          <w:sz w:val="25"/>
          <w:vertAlign w:val="subscript"/>
        </w:rPr>
        <w:t>n</w:t>
      </w:r>
      <w:r>
        <w:rPr>
          <w:sz w:val="21"/>
        </w:rPr>
        <w:t xml:space="preserve"> oznacza procentowy udział w roku „n” działalności niegospodarczej w ramach rocznej wydajności </w:t>
      </w:r>
      <w:r w:rsidR="00027525">
        <w:rPr>
          <w:sz w:val="21"/>
        </w:rPr>
        <w:t xml:space="preserve">  </w:t>
      </w:r>
      <w:r>
        <w:rPr>
          <w:sz w:val="21"/>
        </w:rPr>
        <w:t>infrastruktury,</w:t>
      </w:r>
      <w:r w:rsidR="00027525">
        <w:rPr>
          <w:sz w:val="21"/>
        </w:rPr>
        <w:t xml:space="preserve">   </w:t>
      </w:r>
      <w:r>
        <w:rPr>
          <w:sz w:val="21"/>
        </w:rPr>
        <w:t xml:space="preserve"> I</w:t>
      </w:r>
      <w:r>
        <w:rPr>
          <w:sz w:val="25"/>
          <w:vertAlign w:val="subscript"/>
        </w:rPr>
        <w:t>DNG</w:t>
      </w:r>
      <w:r>
        <w:rPr>
          <w:sz w:val="21"/>
        </w:rPr>
        <w:t xml:space="preserve"> - </w:t>
      </w:r>
      <w:r w:rsidR="00027525">
        <w:rPr>
          <w:sz w:val="21"/>
        </w:rPr>
        <w:t xml:space="preserve"> </w:t>
      </w:r>
      <w:r>
        <w:rPr>
          <w:sz w:val="21"/>
        </w:rPr>
        <w:t xml:space="preserve">wyrażoną </w:t>
      </w:r>
      <w:r w:rsidR="00027525">
        <w:rPr>
          <w:sz w:val="21"/>
        </w:rPr>
        <w:t xml:space="preserve"> </w:t>
      </w:r>
      <w:r>
        <w:rPr>
          <w:sz w:val="21"/>
        </w:rPr>
        <w:t xml:space="preserve">w </w:t>
      </w:r>
      <w:r w:rsidR="00027525">
        <w:rPr>
          <w:sz w:val="21"/>
        </w:rPr>
        <w:t xml:space="preserve"> </w:t>
      </w:r>
      <w:r>
        <w:rPr>
          <w:sz w:val="21"/>
        </w:rPr>
        <w:t>procentach intensywność dofinansowania infrastruktury</w:t>
      </w:r>
    </w:p>
    <w:p w14:paraId="5A0986BB" w14:textId="77777777" w:rsidR="00E05D9F" w:rsidRDefault="00E05D9F">
      <w:pPr>
        <w:spacing w:line="82" w:lineRule="exact"/>
        <w:rPr>
          <w:rFonts w:ascii="Times New Roman" w:eastAsia="Times New Roman" w:hAnsi="Times New Roman"/>
        </w:rPr>
      </w:pPr>
    </w:p>
    <w:p w14:paraId="3A82AC7E" w14:textId="77777777" w:rsidR="00E05D9F" w:rsidRDefault="00E05D9F">
      <w:pPr>
        <w:spacing w:line="0" w:lineRule="atLeast"/>
        <w:ind w:left="8988"/>
        <w:rPr>
          <w:sz w:val="18"/>
        </w:rPr>
      </w:pPr>
      <w:r>
        <w:rPr>
          <w:sz w:val="18"/>
        </w:rPr>
        <w:t>8</w:t>
      </w:r>
    </w:p>
    <w:p w14:paraId="42204194" w14:textId="77777777" w:rsidR="00E05D9F" w:rsidRDefault="00E05D9F">
      <w:pPr>
        <w:spacing w:line="0" w:lineRule="atLeast"/>
        <w:ind w:left="8988"/>
        <w:rPr>
          <w:sz w:val="18"/>
        </w:rPr>
        <w:sectPr w:rsidR="00E05D9F" w:rsidSect="00F716F9">
          <w:pgSz w:w="11920" w:h="16845"/>
          <w:pgMar w:top="1396" w:right="1410" w:bottom="1440" w:left="1412" w:header="0" w:footer="68" w:gutter="0"/>
          <w:cols w:space="0" w:equalWidth="0">
            <w:col w:w="9088"/>
          </w:cols>
          <w:docGrid w:linePitch="360"/>
        </w:sectPr>
      </w:pPr>
    </w:p>
    <w:p w14:paraId="6A80A281" w14:textId="77777777" w:rsidR="00E05D9F" w:rsidRDefault="00E05D9F">
      <w:pPr>
        <w:spacing w:line="13" w:lineRule="exact"/>
        <w:rPr>
          <w:rFonts w:ascii="Times New Roman" w:eastAsia="Times New Roman" w:hAnsi="Times New Roman"/>
        </w:rPr>
      </w:pPr>
      <w:bookmarkStart w:id="8" w:name="page9"/>
      <w:bookmarkEnd w:id="8"/>
    </w:p>
    <w:p w14:paraId="63E7239A" w14:textId="77777777" w:rsidR="00E05D9F" w:rsidRDefault="00E05D9F">
      <w:pPr>
        <w:spacing w:line="245" w:lineRule="auto"/>
        <w:ind w:left="8" w:right="20"/>
        <w:jc w:val="both"/>
        <w:rPr>
          <w:sz w:val="23"/>
        </w:rPr>
      </w:pPr>
      <w:r>
        <w:rPr>
          <w:sz w:val="23"/>
        </w:rPr>
        <w:t>ze środków publicznych w zakresie działalności niegospodarczej (dofinansowanie niestanowiące pomocy publicznej), RKK – „roczną alokację” kosztów kwalifikowalnych infrastruktury badawczej zakupionej/wytworzonej w ramach projektu.</w:t>
      </w:r>
    </w:p>
    <w:p w14:paraId="354DA4A3" w14:textId="77777777" w:rsidR="00E05D9F" w:rsidRDefault="00E05D9F">
      <w:pPr>
        <w:spacing w:line="225" w:lineRule="exact"/>
        <w:rPr>
          <w:rFonts w:ascii="Times New Roman" w:eastAsia="Times New Roman" w:hAnsi="Times New Roman"/>
        </w:rPr>
      </w:pPr>
    </w:p>
    <w:p w14:paraId="7EB1C4F2" w14:textId="77777777" w:rsidR="00E05D9F" w:rsidRDefault="00E05D9F">
      <w:pPr>
        <w:spacing w:line="0" w:lineRule="atLeast"/>
        <w:ind w:left="8"/>
        <w:rPr>
          <w:sz w:val="23"/>
        </w:rPr>
      </w:pPr>
      <w:r>
        <w:rPr>
          <w:sz w:val="23"/>
        </w:rPr>
        <w:t>W przyjętym przykładzie:</w:t>
      </w:r>
    </w:p>
    <w:p w14:paraId="04DD7FEA" w14:textId="77777777" w:rsidR="00E05D9F" w:rsidRDefault="00E05D9F">
      <w:pPr>
        <w:spacing w:line="172" w:lineRule="exact"/>
        <w:rPr>
          <w:rFonts w:ascii="Times New Roman" w:eastAsia="Times New Roman" w:hAnsi="Times New Roman"/>
        </w:rPr>
      </w:pPr>
    </w:p>
    <w:p w14:paraId="4080DB32" w14:textId="77777777" w:rsidR="00E05D9F" w:rsidRDefault="00E05D9F">
      <w:pPr>
        <w:spacing w:line="0" w:lineRule="atLeast"/>
        <w:ind w:left="8"/>
        <w:rPr>
          <w:sz w:val="23"/>
        </w:rPr>
      </w:pPr>
      <w:r>
        <w:rPr>
          <w:sz w:val="23"/>
        </w:rPr>
        <w:t>RFPDNG</w:t>
      </w:r>
      <w:r>
        <w:rPr>
          <w:b/>
          <w:sz w:val="27"/>
          <w:vertAlign w:val="subscript"/>
        </w:rPr>
        <w:t>n</w:t>
      </w:r>
      <w:r>
        <w:rPr>
          <w:sz w:val="23"/>
        </w:rPr>
        <w:t xml:space="preserve"> = 72% x 100% x 1 000 000 zł = 720 000 zł</w:t>
      </w:r>
    </w:p>
    <w:p w14:paraId="2A65E6EE" w14:textId="77777777" w:rsidR="00E05D9F" w:rsidRDefault="00E05D9F">
      <w:pPr>
        <w:spacing w:line="280" w:lineRule="exact"/>
        <w:rPr>
          <w:rFonts w:ascii="Times New Roman" w:eastAsia="Times New Roman" w:hAnsi="Times New Roman"/>
        </w:rPr>
      </w:pPr>
    </w:p>
    <w:p w14:paraId="2259032B" w14:textId="77777777" w:rsidR="00E05D9F" w:rsidRDefault="00E05D9F">
      <w:pPr>
        <w:spacing w:line="230" w:lineRule="auto"/>
        <w:ind w:left="8" w:right="20"/>
        <w:jc w:val="both"/>
        <w:rPr>
          <w:sz w:val="23"/>
        </w:rPr>
      </w:pPr>
      <w:r>
        <w:rPr>
          <w:sz w:val="23"/>
        </w:rPr>
        <w:t>prawidłowo udzielonego finansowania publicznego przypadającego na działalność niegospodarczą w danym roku.</w:t>
      </w:r>
    </w:p>
    <w:p w14:paraId="4BDB3FC5" w14:textId="77777777" w:rsidR="00E05D9F" w:rsidRDefault="00E05D9F">
      <w:pPr>
        <w:spacing w:line="287" w:lineRule="exact"/>
        <w:rPr>
          <w:rFonts w:ascii="Times New Roman" w:eastAsia="Times New Roman" w:hAnsi="Times New Roman"/>
        </w:rPr>
      </w:pPr>
    </w:p>
    <w:p w14:paraId="352A366B" w14:textId="77777777" w:rsidR="00E05D9F" w:rsidRDefault="00E05D9F" w:rsidP="00FE1021">
      <w:pPr>
        <w:numPr>
          <w:ilvl w:val="0"/>
          <w:numId w:val="23"/>
        </w:numPr>
        <w:tabs>
          <w:tab w:val="left" w:pos="248"/>
        </w:tabs>
        <w:spacing w:line="226" w:lineRule="auto"/>
        <w:ind w:left="8" w:hanging="8"/>
        <w:jc w:val="both"/>
        <w:rPr>
          <w:sz w:val="23"/>
        </w:rPr>
      </w:pPr>
      <w:r>
        <w:rPr>
          <w:sz w:val="23"/>
        </w:rPr>
        <w:t>następnie należy określić wielkość dopuszczalnego finansowania publicznego (pomocy publicznej) przypadającego na finansowanie działalności gospodarczej (RFPDG</w:t>
      </w:r>
      <w:r>
        <w:rPr>
          <w:b/>
          <w:sz w:val="27"/>
          <w:vertAlign w:val="subscript"/>
        </w:rPr>
        <w:t>n</w:t>
      </w:r>
      <w:r>
        <w:rPr>
          <w:sz w:val="23"/>
        </w:rPr>
        <w:t>) w danym roku (dopuszczalna intensywność wsparcia 50%):</w:t>
      </w:r>
    </w:p>
    <w:p w14:paraId="2F767626" w14:textId="77777777" w:rsidR="00E05D9F" w:rsidRDefault="00E05D9F">
      <w:pPr>
        <w:spacing w:line="188" w:lineRule="exact"/>
        <w:rPr>
          <w:rFonts w:ascii="Times New Roman" w:eastAsia="Times New Roman" w:hAnsi="Times New Roman"/>
        </w:rPr>
      </w:pPr>
    </w:p>
    <w:p w14:paraId="6E9F4A05" w14:textId="77777777" w:rsidR="00E05D9F" w:rsidRPr="00C36DA5" w:rsidRDefault="00E05D9F">
      <w:pPr>
        <w:spacing w:line="0" w:lineRule="atLeast"/>
        <w:ind w:left="8"/>
        <w:rPr>
          <w:sz w:val="23"/>
          <w:lang w:val="en-US"/>
        </w:rPr>
      </w:pPr>
      <w:r w:rsidRPr="00C36DA5">
        <w:rPr>
          <w:b/>
          <w:sz w:val="23"/>
          <w:lang w:val="en-US"/>
        </w:rPr>
        <w:t>RFPDG</w:t>
      </w:r>
      <w:r w:rsidRPr="00C36DA5">
        <w:rPr>
          <w:b/>
          <w:sz w:val="27"/>
          <w:vertAlign w:val="subscript"/>
          <w:lang w:val="en-US"/>
        </w:rPr>
        <w:t>n</w:t>
      </w:r>
      <w:r w:rsidRPr="00C36DA5">
        <w:rPr>
          <w:b/>
          <w:sz w:val="23"/>
          <w:lang w:val="en-US"/>
        </w:rPr>
        <w:t xml:space="preserve"> = DG</w:t>
      </w:r>
      <w:r w:rsidRPr="00C36DA5">
        <w:rPr>
          <w:b/>
          <w:sz w:val="27"/>
          <w:vertAlign w:val="subscript"/>
          <w:lang w:val="en-US"/>
        </w:rPr>
        <w:t>n</w:t>
      </w:r>
      <w:r w:rsidRPr="00C36DA5">
        <w:rPr>
          <w:b/>
          <w:sz w:val="23"/>
          <w:lang w:val="en-US"/>
        </w:rPr>
        <w:t xml:space="preserve"> x I</w:t>
      </w:r>
      <w:r w:rsidRPr="00C36DA5">
        <w:rPr>
          <w:b/>
          <w:sz w:val="27"/>
          <w:vertAlign w:val="subscript"/>
          <w:lang w:val="en-US"/>
        </w:rPr>
        <w:t>DG</w:t>
      </w:r>
      <w:r w:rsidRPr="00C36DA5">
        <w:rPr>
          <w:b/>
          <w:sz w:val="23"/>
          <w:lang w:val="en-US"/>
        </w:rPr>
        <w:t xml:space="preserve"> x RKK</w:t>
      </w:r>
      <w:r w:rsidRPr="00C36DA5">
        <w:rPr>
          <w:sz w:val="23"/>
          <w:lang w:val="en-US"/>
        </w:rPr>
        <w:t>,</w:t>
      </w:r>
    </w:p>
    <w:p w14:paraId="6FE7A730" w14:textId="77777777" w:rsidR="00E05D9F" w:rsidRPr="00C36DA5" w:rsidRDefault="00E05D9F">
      <w:pPr>
        <w:spacing w:line="225" w:lineRule="exact"/>
        <w:rPr>
          <w:rFonts w:ascii="Times New Roman" w:eastAsia="Times New Roman" w:hAnsi="Times New Roman"/>
          <w:lang w:val="en-US"/>
        </w:rPr>
      </w:pPr>
    </w:p>
    <w:p w14:paraId="2505C291" w14:textId="77777777" w:rsidR="00E05D9F" w:rsidRDefault="00E05D9F">
      <w:pPr>
        <w:spacing w:line="241" w:lineRule="auto"/>
        <w:ind w:left="8"/>
        <w:jc w:val="both"/>
        <w:rPr>
          <w:sz w:val="23"/>
        </w:rPr>
      </w:pPr>
      <w:r>
        <w:rPr>
          <w:sz w:val="23"/>
        </w:rPr>
        <w:t>gdzie DG</w:t>
      </w:r>
      <w:r>
        <w:rPr>
          <w:sz w:val="27"/>
          <w:vertAlign w:val="subscript"/>
        </w:rPr>
        <w:t>n</w:t>
      </w:r>
      <w:r>
        <w:rPr>
          <w:sz w:val="23"/>
        </w:rPr>
        <w:t xml:space="preserve"> oznacza procentowy udział w roku „n” działalności gospodarczej w ramach rocznej wydajności infrastruktury, I</w:t>
      </w:r>
      <w:r>
        <w:rPr>
          <w:sz w:val="27"/>
          <w:vertAlign w:val="subscript"/>
        </w:rPr>
        <w:t>DG</w:t>
      </w:r>
      <w:r>
        <w:rPr>
          <w:sz w:val="23"/>
        </w:rPr>
        <w:t xml:space="preserve"> - wyrażoną w procentach intensywność dofinansowania infrastruktury ze środków publicznych w zakresie działalności gospodarczej (dofinansowanie stanowiące pomoc publiczną), RKK – „roczną alokację” kosztów kwalifikowalnych infrastruktury badawczej zakupionej/wytworzonej w ramach projektu.</w:t>
      </w:r>
    </w:p>
    <w:p w14:paraId="6905FE54" w14:textId="77777777" w:rsidR="00E05D9F" w:rsidRDefault="00E05D9F">
      <w:pPr>
        <w:spacing w:line="232" w:lineRule="exact"/>
        <w:rPr>
          <w:rFonts w:ascii="Times New Roman" w:eastAsia="Times New Roman" w:hAnsi="Times New Roman"/>
        </w:rPr>
      </w:pPr>
    </w:p>
    <w:p w14:paraId="25FACB90" w14:textId="77777777" w:rsidR="00E05D9F" w:rsidRDefault="00E05D9F">
      <w:pPr>
        <w:spacing w:line="0" w:lineRule="atLeast"/>
        <w:ind w:left="8"/>
        <w:rPr>
          <w:sz w:val="23"/>
        </w:rPr>
      </w:pPr>
      <w:r>
        <w:rPr>
          <w:sz w:val="23"/>
        </w:rPr>
        <w:t>W przyjętym przykładzie:</w:t>
      </w:r>
    </w:p>
    <w:p w14:paraId="21600E22" w14:textId="77777777" w:rsidR="00E05D9F" w:rsidRDefault="00E05D9F">
      <w:pPr>
        <w:spacing w:line="187" w:lineRule="exact"/>
        <w:rPr>
          <w:rFonts w:ascii="Times New Roman" w:eastAsia="Times New Roman" w:hAnsi="Times New Roman"/>
        </w:rPr>
      </w:pPr>
    </w:p>
    <w:p w14:paraId="7D0AF861" w14:textId="77777777" w:rsidR="00E05D9F" w:rsidRDefault="00E05D9F">
      <w:pPr>
        <w:spacing w:line="0" w:lineRule="atLeast"/>
        <w:ind w:left="8"/>
        <w:rPr>
          <w:sz w:val="23"/>
        </w:rPr>
      </w:pPr>
      <w:r>
        <w:rPr>
          <w:sz w:val="23"/>
        </w:rPr>
        <w:t>RFPDG</w:t>
      </w:r>
      <w:r>
        <w:rPr>
          <w:sz w:val="27"/>
          <w:vertAlign w:val="subscript"/>
        </w:rPr>
        <w:t>n</w:t>
      </w:r>
      <w:r>
        <w:rPr>
          <w:sz w:val="23"/>
        </w:rPr>
        <w:t xml:space="preserve"> = 28% x 50% x 1 000 000 zł = 140 000 zł</w:t>
      </w:r>
    </w:p>
    <w:p w14:paraId="28E78CC3" w14:textId="77777777" w:rsidR="00E05D9F" w:rsidRDefault="00E05D9F">
      <w:pPr>
        <w:spacing w:line="280" w:lineRule="exact"/>
        <w:rPr>
          <w:rFonts w:ascii="Times New Roman" w:eastAsia="Times New Roman" w:hAnsi="Times New Roman"/>
        </w:rPr>
      </w:pPr>
    </w:p>
    <w:p w14:paraId="560FE17E" w14:textId="77777777" w:rsidR="00E05D9F" w:rsidRDefault="00E05D9F">
      <w:pPr>
        <w:spacing w:line="239" w:lineRule="auto"/>
        <w:ind w:left="8"/>
        <w:jc w:val="both"/>
        <w:rPr>
          <w:sz w:val="23"/>
        </w:rPr>
      </w:pPr>
      <w:r>
        <w:rPr>
          <w:sz w:val="23"/>
        </w:rPr>
        <w:t>dopuszczalnego finansowania publicznego (pomocy publicznej) przypadającego na działalność gospodarczą w roku 5. Jednocześnie jest to kwota podlegająca legalizacji pomocy, o której mowa w punkcie VII.</w:t>
      </w:r>
    </w:p>
    <w:p w14:paraId="3A4A71A5" w14:textId="77777777" w:rsidR="00E05D9F" w:rsidRDefault="00E05D9F">
      <w:pPr>
        <w:spacing w:line="233" w:lineRule="exact"/>
        <w:rPr>
          <w:rFonts w:ascii="Times New Roman" w:eastAsia="Times New Roman" w:hAnsi="Times New Roman"/>
        </w:rPr>
      </w:pPr>
    </w:p>
    <w:p w14:paraId="54F69CBC" w14:textId="77777777" w:rsidR="00E05D9F" w:rsidRDefault="00E05D9F" w:rsidP="00FE1021">
      <w:pPr>
        <w:numPr>
          <w:ilvl w:val="0"/>
          <w:numId w:val="24"/>
        </w:numPr>
        <w:tabs>
          <w:tab w:val="left" w:pos="248"/>
        </w:tabs>
        <w:spacing w:line="233" w:lineRule="auto"/>
        <w:ind w:left="8" w:hanging="8"/>
        <w:jc w:val="both"/>
        <w:rPr>
          <w:sz w:val="23"/>
        </w:rPr>
      </w:pPr>
      <w:r>
        <w:rPr>
          <w:sz w:val="23"/>
        </w:rPr>
        <w:t>w ostatnim kroku należy wyliczyć kwotę przypadającą do zwrotu (Z</w:t>
      </w:r>
      <w:r>
        <w:rPr>
          <w:b/>
          <w:sz w:val="27"/>
          <w:vertAlign w:val="subscript"/>
        </w:rPr>
        <w:t>n</w:t>
      </w:r>
      <w:r>
        <w:rPr>
          <w:sz w:val="23"/>
        </w:rPr>
        <w:t xml:space="preserve">) za dany rok - przy założeniu </w:t>
      </w:r>
      <w:r>
        <w:rPr>
          <w:sz w:val="23"/>
          <w:u w:val="single"/>
        </w:rPr>
        <w:t>legalizacji pomocy publicznej</w:t>
      </w:r>
      <w:r>
        <w:rPr>
          <w:sz w:val="23"/>
        </w:rPr>
        <w:t>:</w:t>
      </w:r>
    </w:p>
    <w:p w14:paraId="13E7B151" w14:textId="77777777" w:rsidR="00E05D9F" w:rsidRDefault="00E05D9F">
      <w:pPr>
        <w:spacing w:line="189" w:lineRule="exact"/>
        <w:rPr>
          <w:rFonts w:ascii="Times New Roman" w:eastAsia="Times New Roman" w:hAnsi="Times New Roman"/>
        </w:rPr>
      </w:pPr>
    </w:p>
    <w:p w14:paraId="3A8A1BCF" w14:textId="77777777" w:rsidR="00E05D9F" w:rsidRDefault="00E05D9F">
      <w:pPr>
        <w:spacing w:line="0" w:lineRule="atLeast"/>
        <w:ind w:left="8"/>
        <w:rPr>
          <w:sz w:val="23"/>
        </w:rPr>
      </w:pPr>
      <w:r>
        <w:rPr>
          <w:b/>
          <w:sz w:val="23"/>
        </w:rPr>
        <w:t>Z</w:t>
      </w:r>
      <w:r>
        <w:rPr>
          <w:b/>
          <w:sz w:val="27"/>
          <w:vertAlign w:val="subscript"/>
        </w:rPr>
        <w:t>n</w:t>
      </w:r>
      <w:r>
        <w:rPr>
          <w:b/>
          <w:sz w:val="23"/>
        </w:rPr>
        <w:t xml:space="preserve"> = RFP – (RFPDNG</w:t>
      </w:r>
      <w:r>
        <w:rPr>
          <w:b/>
          <w:sz w:val="27"/>
          <w:vertAlign w:val="subscript"/>
        </w:rPr>
        <w:t>n</w:t>
      </w:r>
      <w:r>
        <w:rPr>
          <w:b/>
          <w:sz w:val="23"/>
        </w:rPr>
        <w:t xml:space="preserve"> + RFPDG</w:t>
      </w:r>
      <w:r>
        <w:rPr>
          <w:b/>
          <w:sz w:val="27"/>
          <w:vertAlign w:val="subscript"/>
        </w:rPr>
        <w:t>n</w:t>
      </w:r>
      <w:r>
        <w:rPr>
          <w:b/>
          <w:sz w:val="23"/>
        </w:rPr>
        <w:t>)</w:t>
      </w:r>
      <w:r>
        <w:rPr>
          <w:sz w:val="23"/>
        </w:rPr>
        <w:t>.</w:t>
      </w:r>
    </w:p>
    <w:p w14:paraId="5F59B48E" w14:textId="77777777" w:rsidR="00E05D9F" w:rsidRDefault="00E05D9F">
      <w:pPr>
        <w:spacing w:line="223" w:lineRule="exact"/>
        <w:rPr>
          <w:rFonts w:ascii="Times New Roman" w:eastAsia="Times New Roman" w:hAnsi="Times New Roman"/>
        </w:rPr>
      </w:pPr>
    </w:p>
    <w:p w14:paraId="0F709C0E" w14:textId="77777777" w:rsidR="00E05D9F" w:rsidRDefault="00E05D9F">
      <w:pPr>
        <w:spacing w:line="0" w:lineRule="atLeast"/>
        <w:ind w:left="8"/>
        <w:rPr>
          <w:sz w:val="23"/>
        </w:rPr>
      </w:pPr>
      <w:r>
        <w:rPr>
          <w:sz w:val="23"/>
        </w:rPr>
        <w:t>W przyjętym przykładzie:</w:t>
      </w:r>
    </w:p>
    <w:p w14:paraId="6E1F9136" w14:textId="77777777" w:rsidR="00E05D9F" w:rsidRDefault="00E05D9F">
      <w:pPr>
        <w:spacing w:line="187" w:lineRule="exact"/>
        <w:rPr>
          <w:rFonts w:ascii="Times New Roman" w:eastAsia="Times New Roman" w:hAnsi="Times New Roman"/>
        </w:rPr>
      </w:pPr>
    </w:p>
    <w:p w14:paraId="4C12B370" w14:textId="77777777" w:rsidR="00E05D9F" w:rsidRDefault="00E05D9F">
      <w:pPr>
        <w:spacing w:line="0" w:lineRule="atLeast"/>
        <w:ind w:left="48"/>
        <w:rPr>
          <w:sz w:val="23"/>
        </w:rPr>
      </w:pPr>
      <w:r>
        <w:rPr>
          <w:sz w:val="23"/>
        </w:rPr>
        <w:t>Z</w:t>
      </w:r>
      <w:r>
        <w:rPr>
          <w:sz w:val="27"/>
          <w:vertAlign w:val="subscript"/>
        </w:rPr>
        <w:t>n</w:t>
      </w:r>
      <w:r>
        <w:rPr>
          <w:sz w:val="23"/>
        </w:rPr>
        <w:t xml:space="preserve"> = 1 000 000 zł – (720 000 zł + 140 000 zł) = 140 000 zł</w:t>
      </w:r>
    </w:p>
    <w:p w14:paraId="047A9C0B" w14:textId="77777777" w:rsidR="00E05D9F" w:rsidRDefault="00E05D9F">
      <w:pPr>
        <w:spacing w:line="209" w:lineRule="exact"/>
        <w:rPr>
          <w:rFonts w:ascii="Times New Roman" w:eastAsia="Times New Roman" w:hAnsi="Times New Roman"/>
        </w:rPr>
      </w:pPr>
    </w:p>
    <w:p w14:paraId="6EC108FE" w14:textId="77777777" w:rsidR="00E05D9F" w:rsidRDefault="00E05D9F">
      <w:pPr>
        <w:spacing w:line="0" w:lineRule="atLeast"/>
        <w:ind w:left="8"/>
        <w:rPr>
          <w:sz w:val="23"/>
        </w:rPr>
      </w:pPr>
      <w:r>
        <w:rPr>
          <w:sz w:val="23"/>
        </w:rPr>
        <w:t>stanowi kwotę przypadającą do zwrotu.</w:t>
      </w:r>
    </w:p>
    <w:p w14:paraId="7E82DE8C" w14:textId="77777777" w:rsidR="00E05D9F" w:rsidRDefault="00E05D9F">
      <w:pPr>
        <w:spacing w:line="286" w:lineRule="exact"/>
        <w:rPr>
          <w:rFonts w:ascii="Times New Roman" w:eastAsia="Times New Roman" w:hAnsi="Times New Roman"/>
        </w:rPr>
      </w:pPr>
    </w:p>
    <w:p w14:paraId="7DA09ECF" w14:textId="77777777" w:rsidR="00E05D9F" w:rsidRDefault="00E05D9F">
      <w:pPr>
        <w:spacing w:line="230" w:lineRule="auto"/>
        <w:ind w:left="8"/>
        <w:rPr>
          <w:sz w:val="23"/>
        </w:rPr>
      </w:pPr>
      <w:r>
        <w:rPr>
          <w:sz w:val="23"/>
          <w:u w:val="single"/>
        </w:rPr>
        <w:t>Podsumowując,</w:t>
      </w:r>
      <w:r>
        <w:rPr>
          <w:sz w:val="23"/>
        </w:rPr>
        <w:t xml:space="preserve"> w przypadku legalizacji pomocy publicznej - powyższe operacje można sprowadzić do jednego </w:t>
      </w:r>
      <w:r>
        <w:rPr>
          <w:sz w:val="23"/>
          <w:u w:val="single"/>
        </w:rPr>
        <w:t>wzoru</w:t>
      </w:r>
      <w:r>
        <w:rPr>
          <w:sz w:val="23"/>
        </w:rPr>
        <w:t>:</w:t>
      </w:r>
    </w:p>
    <w:p w14:paraId="15F97871" w14:textId="77777777" w:rsidR="00E05D9F" w:rsidRDefault="00E05D9F">
      <w:pPr>
        <w:spacing w:line="189" w:lineRule="exact"/>
        <w:rPr>
          <w:rFonts w:ascii="Times New Roman" w:eastAsia="Times New Roman" w:hAnsi="Times New Roman"/>
        </w:rPr>
      </w:pPr>
    </w:p>
    <w:p w14:paraId="1E8E49AA" w14:textId="77777777" w:rsidR="00E05D9F" w:rsidRDefault="00E05D9F">
      <w:pPr>
        <w:spacing w:line="0" w:lineRule="atLeast"/>
        <w:ind w:left="8"/>
        <w:rPr>
          <w:b/>
          <w:sz w:val="23"/>
        </w:rPr>
      </w:pPr>
      <w:r>
        <w:rPr>
          <w:b/>
          <w:sz w:val="23"/>
        </w:rPr>
        <w:t>Z</w:t>
      </w:r>
      <w:r>
        <w:rPr>
          <w:b/>
          <w:sz w:val="27"/>
          <w:vertAlign w:val="subscript"/>
        </w:rPr>
        <w:t>n</w:t>
      </w:r>
      <w:r>
        <w:rPr>
          <w:b/>
          <w:sz w:val="23"/>
        </w:rPr>
        <w:t xml:space="preserve"> = RFP - (DNG</w:t>
      </w:r>
      <w:r>
        <w:rPr>
          <w:b/>
          <w:sz w:val="27"/>
          <w:vertAlign w:val="subscript"/>
        </w:rPr>
        <w:t>n</w:t>
      </w:r>
      <w:r>
        <w:rPr>
          <w:b/>
          <w:sz w:val="23"/>
        </w:rPr>
        <w:t xml:space="preserve"> x I</w:t>
      </w:r>
      <w:r>
        <w:rPr>
          <w:b/>
          <w:sz w:val="27"/>
          <w:vertAlign w:val="subscript"/>
        </w:rPr>
        <w:t>DNG</w:t>
      </w:r>
      <w:r>
        <w:rPr>
          <w:b/>
          <w:sz w:val="23"/>
        </w:rPr>
        <w:t xml:space="preserve"> x RKK + DG</w:t>
      </w:r>
      <w:r>
        <w:rPr>
          <w:b/>
          <w:sz w:val="27"/>
          <w:vertAlign w:val="subscript"/>
        </w:rPr>
        <w:t>n</w:t>
      </w:r>
      <w:r>
        <w:rPr>
          <w:b/>
          <w:sz w:val="23"/>
        </w:rPr>
        <w:t xml:space="preserve"> x I</w:t>
      </w:r>
      <w:r>
        <w:rPr>
          <w:b/>
          <w:sz w:val="27"/>
          <w:vertAlign w:val="subscript"/>
        </w:rPr>
        <w:t>DG</w:t>
      </w:r>
      <w:r>
        <w:rPr>
          <w:b/>
          <w:sz w:val="23"/>
        </w:rPr>
        <w:t xml:space="preserve"> x RKK)</w:t>
      </w:r>
    </w:p>
    <w:p w14:paraId="53ACC497" w14:textId="77777777" w:rsidR="00E05D9F" w:rsidRDefault="00E05D9F">
      <w:pPr>
        <w:spacing w:line="200" w:lineRule="exact"/>
        <w:rPr>
          <w:rFonts w:ascii="Times New Roman" w:eastAsia="Times New Roman" w:hAnsi="Times New Roman"/>
        </w:rPr>
      </w:pPr>
    </w:p>
    <w:p w14:paraId="25FEB9C9" w14:textId="77777777" w:rsidR="00E05D9F" w:rsidRDefault="00E05D9F">
      <w:pPr>
        <w:spacing w:line="200" w:lineRule="exact"/>
        <w:rPr>
          <w:rFonts w:ascii="Times New Roman" w:eastAsia="Times New Roman" w:hAnsi="Times New Roman"/>
        </w:rPr>
      </w:pPr>
    </w:p>
    <w:p w14:paraId="382A2132" w14:textId="77777777" w:rsidR="00E05D9F" w:rsidRDefault="00E05D9F">
      <w:pPr>
        <w:spacing w:line="200" w:lineRule="exact"/>
        <w:rPr>
          <w:rFonts w:ascii="Times New Roman" w:eastAsia="Times New Roman" w:hAnsi="Times New Roman"/>
        </w:rPr>
      </w:pPr>
    </w:p>
    <w:p w14:paraId="43485873" w14:textId="77777777" w:rsidR="00E05D9F" w:rsidRDefault="00E05D9F">
      <w:pPr>
        <w:spacing w:line="202" w:lineRule="exact"/>
        <w:rPr>
          <w:rFonts w:ascii="Times New Roman" w:eastAsia="Times New Roman" w:hAnsi="Times New Roman"/>
        </w:rPr>
      </w:pPr>
    </w:p>
    <w:p w14:paraId="49761316" w14:textId="77777777" w:rsidR="00E05D9F" w:rsidRDefault="00E05D9F">
      <w:pPr>
        <w:spacing w:line="0" w:lineRule="atLeast"/>
        <w:ind w:left="8988"/>
        <w:rPr>
          <w:sz w:val="18"/>
        </w:rPr>
      </w:pPr>
      <w:r>
        <w:rPr>
          <w:sz w:val="18"/>
        </w:rPr>
        <w:t>9</w:t>
      </w:r>
    </w:p>
    <w:p w14:paraId="51C70EA1" w14:textId="77777777" w:rsidR="00E05D9F" w:rsidRDefault="00E05D9F">
      <w:pPr>
        <w:spacing w:line="0" w:lineRule="atLeast"/>
        <w:ind w:left="8988"/>
        <w:rPr>
          <w:sz w:val="18"/>
        </w:rPr>
        <w:sectPr w:rsidR="00E05D9F" w:rsidSect="00F716F9">
          <w:pgSz w:w="11920" w:h="16845"/>
          <w:pgMar w:top="1440" w:right="1410" w:bottom="1440" w:left="1412" w:header="0" w:footer="68" w:gutter="0"/>
          <w:cols w:space="0" w:equalWidth="0">
            <w:col w:w="9088"/>
          </w:cols>
          <w:docGrid w:linePitch="360"/>
        </w:sectPr>
      </w:pPr>
    </w:p>
    <w:p w14:paraId="5C8915F2" w14:textId="77777777" w:rsidR="00E05D9F" w:rsidRDefault="00E05D9F">
      <w:pPr>
        <w:spacing w:line="0" w:lineRule="atLeast"/>
        <w:ind w:left="8"/>
        <w:rPr>
          <w:sz w:val="22"/>
        </w:rPr>
      </w:pPr>
      <w:bookmarkStart w:id="9" w:name="page10"/>
      <w:bookmarkEnd w:id="9"/>
      <w:r>
        <w:rPr>
          <w:sz w:val="22"/>
        </w:rPr>
        <w:lastRenderedPageBreak/>
        <w:t>Z</w:t>
      </w:r>
      <w:r>
        <w:rPr>
          <w:sz w:val="26"/>
          <w:vertAlign w:val="subscript"/>
        </w:rPr>
        <w:t>n</w:t>
      </w:r>
      <w:r>
        <w:rPr>
          <w:sz w:val="22"/>
        </w:rPr>
        <w:t xml:space="preserve"> = 1 000 000 zł – (72% x 100% x 1 000 000 zł + 28% x 50% x 1 000 000 zł) = 1 000 000 zł – (720 000 zł</w:t>
      </w:r>
    </w:p>
    <w:p w14:paraId="121BCE7E" w14:textId="77777777" w:rsidR="00E05D9F" w:rsidRDefault="00E05D9F">
      <w:pPr>
        <w:spacing w:line="28" w:lineRule="exact"/>
        <w:rPr>
          <w:rFonts w:ascii="Times New Roman" w:eastAsia="Times New Roman" w:hAnsi="Times New Roman"/>
        </w:rPr>
      </w:pPr>
    </w:p>
    <w:p w14:paraId="4FCD68A0" w14:textId="77777777" w:rsidR="00E05D9F" w:rsidRDefault="00E05D9F" w:rsidP="00FE1021">
      <w:pPr>
        <w:numPr>
          <w:ilvl w:val="0"/>
          <w:numId w:val="25"/>
        </w:numPr>
        <w:tabs>
          <w:tab w:val="left" w:pos="168"/>
        </w:tabs>
        <w:spacing w:line="0" w:lineRule="atLeast"/>
        <w:ind w:left="168" w:hanging="168"/>
        <w:rPr>
          <w:sz w:val="23"/>
        </w:rPr>
      </w:pPr>
      <w:r>
        <w:rPr>
          <w:sz w:val="23"/>
        </w:rPr>
        <w:t>140 000 zł) = 140 000 zł</w:t>
      </w:r>
    </w:p>
    <w:p w14:paraId="1633AC73" w14:textId="77777777" w:rsidR="00E05D9F" w:rsidRDefault="00E05D9F">
      <w:pPr>
        <w:spacing w:line="286" w:lineRule="exact"/>
        <w:rPr>
          <w:rFonts w:ascii="Times New Roman" w:eastAsia="Times New Roman" w:hAnsi="Times New Roman"/>
        </w:rPr>
      </w:pPr>
    </w:p>
    <w:p w14:paraId="576B87F3" w14:textId="77777777" w:rsidR="00E05D9F" w:rsidRDefault="00E05D9F">
      <w:pPr>
        <w:spacing w:line="235" w:lineRule="auto"/>
        <w:ind w:left="8"/>
        <w:jc w:val="both"/>
        <w:rPr>
          <w:sz w:val="22"/>
        </w:rPr>
      </w:pPr>
      <w:r>
        <w:rPr>
          <w:sz w:val="22"/>
        </w:rPr>
        <w:t xml:space="preserve">Jeżeli </w:t>
      </w:r>
      <w:r>
        <w:rPr>
          <w:sz w:val="22"/>
          <w:u w:val="single"/>
        </w:rPr>
        <w:t>legalizacja nie jest możliwa</w:t>
      </w:r>
      <w:r>
        <w:rPr>
          <w:sz w:val="22"/>
        </w:rPr>
        <w:t>, zwrotowi podlega część finansowania publicznego odpowiadająca skali ograniczenia udziału działalności niegospodarczej w danym roku (Z</w:t>
      </w:r>
      <w:r>
        <w:rPr>
          <w:sz w:val="26"/>
          <w:vertAlign w:val="subscript"/>
        </w:rPr>
        <w:t>n</w:t>
      </w:r>
      <w:r>
        <w:rPr>
          <w:sz w:val="22"/>
        </w:rPr>
        <w:t>). Wartość tę można wyliczyć jako różnicę między roczną alokacją finansowania publicznego działalności niegospodarczej (RFPDNG)</w:t>
      </w:r>
    </w:p>
    <w:p w14:paraId="534B5CC1" w14:textId="77777777" w:rsidR="00E05D9F" w:rsidRDefault="00E05D9F">
      <w:pPr>
        <w:spacing w:line="40" w:lineRule="exact"/>
        <w:rPr>
          <w:rFonts w:ascii="Times New Roman" w:eastAsia="Times New Roman" w:hAnsi="Times New Roman"/>
        </w:rPr>
      </w:pPr>
    </w:p>
    <w:p w14:paraId="0D322C09" w14:textId="77777777" w:rsidR="00E05D9F" w:rsidRDefault="00E05D9F" w:rsidP="00FE1021">
      <w:pPr>
        <w:numPr>
          <w:ilvl w:val="0"/>
          <w:numId w:val="26"/>
        </w:numPr>
        <w:tabs>
          <w:tab w:val="left" w:pos="278"/>
        </w:tabs>
        <w:spacing w:line="227" w:lineRule="auto"/>
        <w:ind w:left="8" w:hanging="8"/>
        <w:jc w:val="both"/>
        <w:rPr>
          <w:sz w:val="23"/>
        </w:rPr>
      </w:pPr>
      <w:r>
        <w:rPr>
          <w:sz w:val="23"/>
        </w:rPr>
        <w:t>wartością finansowania publicznego działalności niegospodarczej w roku „n” (RFPDNG</w:t>
      </w:r>
      <w:r>
        <w:rPr>
          <w:sz w:val="27"/>
          <w:vertAlign w:val="subscript"/>
        </w:rPr>
        <w:t>n</w:t>
      </w:r>
      <w:r>
        <w:rPr>
          <w:sz w:val="23"/>
        </w:rPr>
        <w:t>), zredukowanego w wyniku zmniejszenia udziału działalności niegospodarczej:</w:t>
      </w:r>
    </w:p>
    <w:p w14:paraId="58D01987" w14:textId="77777777" w:rsidR="00E05D9F" w:rsidRDefault="00E05D9F">
      <w:pPr>
        <w:spacing w:line="189" w:lineRule="exact"/>
        <w:rPr>
          <w:rFonts w:ascii="Times New Roman" w:eastAsia="Times New Roman" w:hAnsi="Times New Roman"/>
        </w:rPr>
      </w:pPr>
    </w:p>
    <w:p w14:paraId="42703C17" w14:textId="77777777" w:rsidR="00E05D9F" w:rsidRDefault="00E05D9F">
      <w:pPr>
        <w:spacing w:line="0" w:lineRule="atLeast"/>
        <w:ind w:left="8"/>
        <w:rPr>
          <w:sz w:val="23"/>
        </w:rPr>
      </w:pPr>
      <w:r>
        <w:rPr>
          <w:b/>
          <w:sz w:val="23"/>
        </w:rPr>
        <w:t>Z</w:t>
      </w:r>
      <w:r>
        <w:rPr>
          <w:b/>
          <w:sz w:val="27"/>
          <w:vertAlign w:val="subscript"/>
        </w:rPr>
        <w:t>n</w:t>
      </w:r>
      <w:r>
        <w:rPr>
          <w:b/>
          <w:sz w:val="23"/>
        </w:rPr>
        <w:t xml:space="preserve"> = RFPDNG - RFPDNG</w:t>
      </w:r>
      <w:r>
        <w:rPr>
          <w:b/>
          <w:sz w:val="27"/>
          <w:vertAlign w:val="subscript"/>
        </w:rPr>
        <w:t>n</w:t>
      </w:r>
      <w:r>
        <w:rPr>
          <w:sz w:val="23"/>
        </w:rPr>
        <w:t>.</w:t>
      </w:r>
    </w:p>
    <w:p w14:paraId="66BE1558" w14:textId="77777777" w:rsidR="00E05D9F" w:rsidRDefault="00E05D9F">
      <w:pPr>
        <w:spacing w:line="223" w:lineRule="exact"/>
        <w:rPr>
          <w:rFonts w:ascii="Times New Roman" w:eastAsia="Times New Roman" w:hAnsi="Times New Roman"/>
        </w:rPr>
      </w:pPr>
    </w:p>
    <w:p w14:paraId="2545CCC1" w14:textId="77777777" w:rsidR="00E05D9F" w:rsidRDefault="00E05D9F">
      <w:pPr>
        <w:spacing w:line="0" w:lineRule="atLeast"/>
        <w:ind w:left="8"/>
        <w:rPr>
          <w:sz w:val="23"/>
        </w:rPr>
      </w:pPr>
      <w:r>
        <w:rPr>
          <w:sz w:val="23"/>
        </w:rPr>
        <w:t>Wartość dofinansowania podlegająca zwrotowi wynosi:</w:t>
      </w:r>
    </w:p>
    <w:p w14:paraId="01CCBE4A" w14:textId="77777777" w:rsidR="00E05D9F" w:rsidRDefault="00E05D9F">
      <w:pPr>
        <w:spacing w:line="187" w:lineRule="exact"/>
        <w:rPr>
          <w:rFonts w:ascii="Times New Roman" w:eastAsia="Times New Roman" w:hAnsi="Times New Roman"/>
        </w:rPr>
      </w:pPr>
    </w:p>
    <w:p w14:paraId="26ACDCE0" w14:textId="77777777" w:rsidR="00E05D9F" w:rsidRDefault="00E05D9F">
      <w:pPr>
        <w:spacing w:line="0" w:lineRule="atLeast"/>
        <w:ind w:left="8"/>
        <w:rPr>
          <w:sz w:val="23"/>
        </w:rPr>
      </w:pPr>
      <w:r>
        <w:rPr>
          <w:sz w:val="23"/>
        </w:rPr>
        <w:t>Z</w:t>
      </w:r>
      <w:r>
        <w:rPr>
          <w:sz w:val="27"/>
          <w:vertAlign w:val="subscript"/>
        </w:rPr>
        <w:t>n</w:t>
      </w:r>
      <w:r>
        <w:rPr>
          <w:sz w:val="23"/>
        </w:rPr>
        <w:t xml:space="preserve"> = 1 000 000 zł – 720 000 zł = 280 000 zł.</w:t>
      </w:r>
    </w:p>
    <w:p w14:paraId="50A2357F" w14:textId="77777777" w:rsidR="00E05D9F" w:rsidRDefault="00E05D9F">
      <w:pPr>
        <w:spacing w:line="280" w:lineRule="exact"/>
        <w:rPr>
          <w:rFonts w:ascii="Times New Roman" w:eastAsia="Times New Roman" w:hAnsi="Times New Roman"/>
        </w:rPr>
      </w:pPr>
    </w:p>
    <w:p w14:paraId="79EB3BD9" w14:textId="77777777" w:rsidR="00E05D9F" w:rsidRDefault="00E05D9F">
      <w:pPr>
        <w:spacing w:line="265" w:lineRule="auto"/>
        <w:ind w:left="8"/>
        <w:jc w:val="both"/>
        <w:rPr>
          <w:b/>
          <w:sz w:val="21"/>
        </w:rPr>
      </w:pPr>
      <w:r>
        <w:rPr>
          <w:b/>
          <w:sz w:val="21"/>
        </w:rPr>
        <w:t>Analogiczna kalkulacja powinna być przeprowadzona oddzielnie dla każdego roku monitorowania infrastruktury, w którym nastąpiło przekroczenie dopuszczalnego (20%) limitu działalności</w:t>
      </w:r>
    </w:p>
    <w:p w14:paraId="5063F78E" w14:textId="77777777" w:rsidR="00E05D9F" w:rsidRDefault="00E05D9F">
      <w:pPr>
        <w:spacing w:line="234" w:lineRule="auto"/>
        <w:ind w:left="8"/>
        <w:rPr>
          <w:b/>
          <w:sz w:val="23"/>
        </w:rPr>
      </w:pPr>
      <w:r>
        <w:rPr>
          <w:b/>
          <w:sz w:val="23"/>
        </w:rPr>
        <w:t>pomocniczej.</w:t>
      </w:r>
    </w:p>
    <w:p w14:paraId="261CE904" w14:textId="77777777" w:rsidR="00E05D9F" w:rsidRDefault="00E05D9F">
      <w:pPr>
        <w:spacing w:line="286" w:lineRule="exact"/>
        <w:rPr>
          <w:rFonts w:ascii="Times New Roman" w:eastAsia="Times New Roman" w:hAnsi="Times New Roman"/>
        </w:rPr>
      </w:pPr>
    </w:p>
    <w:p w14:paraId="3E23FD8B" w14:textId="77777777" w:rsidR="00E05D9F" w:rsidRDefault="00E05D9F">
      <w:pPr>
        <w:spacing w:line="273" w:lineRule="auto"/>
        <w:ind w:left="8" w:right="20"/>
        <w:jc w:val="both"/>
        <w:rPr>
          <w:sz w:val="21"/>
        </w:rPr>
      </w:pPr>
      <w:r>
        <w:rPr>
          <w:sz w:val="21"/>
        </w:rPr>
        <w:t>UWAGA!!! Nie jest dopuszczalne zastosowanie rozwiązania, zgodnie z którym kwota przypadająca do zwrotu byłaby obliczana jedynie dla „nadwyżki” działalności gospodarczej ponad 20% dopuszczalnego limitu działalności pomocniczej (w omawianym przypadku byłoby to 8%).</w:t>
      </w:r>
    </w:p>
    <w:p w14:paraId="05C29517" w14:textId="77777777" w:rsidR="00E05D9F" w:rsidRDefault="00E05D9F">
      <w:pPr>
        <w:spacing w:line="251" w:lineRule="exact"/>
        <w:rPr>
          <w:rFonts w:ascii="Times New Roman" w:eastAsia="Times New Roman" w:hAnsi="Times New Roman"/>
        </w:rPr>
      </w:pPr>
    </w:p>
    <w:p w14:paraId="14DE53CC" w14:textId="77777777" w:rsidR="00E05D9F" w:rsidRDefault="00E05D9F">
      <w:pPr>
        <w:spacing w:line="284" w:lineRule="auto"/>
        <w:ind w:left="8"/>
        <w:jc w:val="both"/>
        <w:rPr>
          <w:sz w:val="21"/>
        </w:rPr>
      </w:pPr>
      <w:r>
        <w:rPr>
          <w:sz w:val="21"/>
        </w:rPr>
        <w:t>Należy wskazać, że w powyższym przykładzie, dla uproszczenia kalkulacji, przyjęto założenie, że dofinansowanie zostało udzielone w wysokości 100% kosztów kwalifikowalnych, jednak przed wyliczeniem kwoty podlegającej wycofaniu należy uwzględnić fakt, że w danym projekcie dofinansowanie mogło zostać udzielone w wysokości mniejszej niż maksymalna (100% kosztów kwalifikowalnych) oraz ewentualne korekty kosztów lub pomniejszenia dofinansowania (związane np.</w:t>
      </w:r>
    </w:p>
    <w:p w14:paraId="304174AE" w14:textId="77777777" w:rsidR="00E05D9F" w:rsidRDefault="00E05D9F">
      <w:pPr>
        <w:spacing w:line="30" w:lineRule="exact"/>
        <w:rPr>
          <w:rFonts w:ascii="Times New Roman" w:eastAsia="Times New Roman" w:hAnsi="Times New Roman"/>
        </w:rPr>
      </w:pPr>
    </w:p>
    <w:p w14:paraId="5A25FA32" w14:textId="77777777" w:rsidR="00E05D9F" w:rsidRDefault="00E05D9F" w:rsidP="00FE1021">
      <w:pPr>
        <w:numPr>
          <w:ilvl w:val="0"/>
          <w:numId w:val="27"/>
        </w:numPr>
        <w:tabs>
          <w:tab w:val="left" w:pos="248"/>
        </w:tabs>
        <w:spacing w:line="249" w:lineRule="auto"/>
        <w:ind w:left="8" w:hanging="8"/>
        <w:jc w:val="both"/>
        <w:rPr>
          <w:sz w:val="23"/>
        </w:rPr>
      </w:pPr>
      <w:r>
        <w:rPr>
          <w:sz w:val="23"/>
        </w:rPr>
        <w:t>rekalkulacją luki finansowej, zmianami kwalifikowalności VAT czy ewentualnymi korektami nałożonymi w międzyczasie). Dla przykładu, w sytuacji, gdy koszty po korektach wyniosły 9 000 000 zł, a rzeczywista wielkość dofinansowania (po uwzględnieniu korekt) wynosi 7 500 000 zł, wyliczenia w rozpatrywanym przykładzie wyglądałyby następująco:</w:t>
      </w:r>
    </w:p>
    <w:p w14:paraId="7DFC38D6" w14:textId="77777777" w:rsidR="00E05D9F" w:rsidRDefault="00E05D9F">
      <w:pPr>
        <w:spacing w:line="220" w:lineRule="exact"/>
        <w:rPr>
          <w:rFonts w:ascii="Times New Roman" w:eastAsia="Times New Roman" w:hAnsi="Times New Roman"/>
        </w:rPr>
      </w:pPr>
    </w:p>
    <w:p w14:paraId="501D606E" w14:textId="77777777" w:rsidR="00E05D9F" w:rsidRDefault="00E05D9F" w:rsidP="00FE1021">
      <w:pPr>
        <w:numPr>
          <w:ilvl w:val="0"/>
          <w:numId w:val="28"/>
        </w:numPr>
        <w:tabs>
          <w:tab w:val="left" w:pos="128"/>
        </w:tabs>
        <w:spacing w:line="0" w:lineRule="atLeast"/>
        <w:ind w:left="128" w:hanging="128"/>
        <w:rPr>
          <w:sz w:val="23"/>
        </w:rPr>
      </w:pPr>
      <w:r>
        <w:rPr>
          <w:sz w:val="23"/>
        </w:rPr>
        <w:t>„roczna alokacja” kosztów wynosi:</w:t>
      </w:r>
    </w:p>
    <w:p w14:paraId="12092B03" w14:textId="77777777" w:rsidR="00E05D9F" w:rsidRDefault="00E05D9F">
      <w:pPr>
        <w:spacing w:line="230" w:lineRule="exact"/>
        <w:rPr>
          <w:rFonts w:ascii="Times New Roman" w:eastAsia="Times New Roman" w:hAnsi="Times New Roman"/>
        </w:rPr>
      </w:pPr>
    </w:p>
    <w:p w14:paraId="04C3DDC5" w14:textId="77777777" w:rsidR="00E05D9F" w:rsidRDefault="00E05D9F">
      <w:pPr>
        <w:spacing w:line="0" w:lineRule="atLeast"/>
        <w:ind w:left="8"/>
        <w:rPr>
          <w:sz w:val="23"/>
        </w:rPr>
      </w:pPr>
      <w:r>
        <w:rPr>
          <w:sz w:val="23"/>
        </w:rPr>
        <w:t>RKK = 1/10 x 9 000 000 zł = 900 000 zł,</w:t>
      </w:r>
    </w:p>
    <w:p w14:paraId="691F9393" w14:textId="77777777" w:rsidR="00E05D9F" w:rsidRDefault="00E05D9F">
      <w:pPr>
        <w:spacing w:line="285" w:lineRule="exact"/>
        <w:rPr>
          <w:rFonts w:ascii="Times New Roman" w:eastAsia="Times New Roman" w:hAnsi="Times New Roman"/>
        </w:rPr>
      </w:pPr>
    </w:p>
    <w:p w14:paraId="7B6D5367" w14:textId="77777777" w:rsidR="00E05D9F" w:rsidRDefault="00E05D9F" w:rsidP="00FE1021">
      <w:pPr>
        <w:numPr>
          <w:ilvl w:val="0"/>
          <w:numId w:val="29"/>
        </w:numPr>
        <w:tabs>
          <w:tab w:val="left" w:pos="128"/>
        </w:tabs>
        <w:spacing w:line="388" w:lineRule="auto"/>
        <w:ind w:left="8" w:right="3120" w:hanging="8"/>
        <w:rPr>
          <w:sz w:val="23"/>
        </w:rPr>
      </w:pPr>
      <w:r>
        <w:rPr>
          <w:sz w:val="23"/>
        </w:rPr>
        <w:t>“roczna alokacja” udzielonego finansowania publicznego wynosi: RFP = RFPDNG = 1/10 x 7 500 000 zł = 750 000 zł.</w:t>
      </w:r>
    </w:p>
    <w:p w14:paraId="2C2590ED" w14:textId="77777777" w:rsidR="00E05D9F" w:rsidRDefault="00E05D9F">
      <w:pPr>
        <w:spacing w:line="14" w:lineRule="exact"/>
        <w:rPr>
          <w:sz w:val="23"/>
        </w:rPr>
      </w:pPr>
    </w:p>
    <w:p w14:paraId="3835AD57" w14:textId="77777777" w:rsidR="00E05D9F" w:rsidRDefault="00E05D9F">
      <w:pPr>
        <w:spacing w:line="0" w:lineRule="atLeast"/>
        <w:ind w:left="8"/>
        <w:rPr>
          <w:sz w:val="23"/>
        </w:rPr>
      </w:pPr>
      <w:r>
        <w:rPr>
          <w:sz w:val="23"/>
        </w:rPr>
        <w:t>1) RFPDNG</w:t>
      </w:r>
      <w:r>
        <w:rPr>
          <w:sz w:val="27"/>
          <w:vertAlign w:val="subscript"/>
        </w:rPr>
        <w:t>n</w:t>
      </w:r>
      <w:r>
        <w:rPr>
          <w:sz w:val="23"/>
        </w:rPr>
        <w:t xml:space="preserve"> = 72% x 100% x 900 000 zł = 648 000 zł</w:t>
      </w:r>
    </w:p>
    <w:p w14:paraId="7E47A2E4" w14:textId="77777777" w:rsidR="00E05D9F" w:rsidRDefault="00E05D9F">
      <w:pPr>
        <w:spacing w:line="166" w:lineRule="exact"/>
        <w:rPr>
          <w:rFonts w:ascii="Times New Roman" w:eastAsia="Times New Roman" w:hAnsi="Times New Roman"/>
        </w:rPr>
      </w:pPr>
    </w:p>
    <w:p w14:paraId="1D40FF30" w14:textId="77777777" w:rsidR="00E05D9F" w:rsidRDefault="00E05D9F" w:rsidP="00FE1021">
      <w:pPr>
        <w:numPr>
          <w:ilvl w:val="0"/>
          <w:numId w:val="30"/>
        </w:numPr>
        <w:tabs>
          <w:tab w:val="left" w:pos="228"/>
        </w:tabs>
        <w:spacing w:line="0" w:lineRule="atLeast"/>
        <w:ind w:left="228" w:hanging="228"/>
        <w:rPr>
          <w:sz w:val="23"/>
        </w:rPr>
      </w:pPr>
      <w:r>
        <w:rPr>
          <w:sz w:val="23"/>
        </w:rPr>
        <w:t>RFPDG</w:t>
      </w:r>
      <w:r>
        <w:rPr>
          <w:sz w:val="27"/>
          <w:vertAlign w:val="subscript"/>
        </w:rPr>
        <w:t>n</w:t>
      </w:r>
      <w:r>
        <w:rPr>
          <w:sz w:val="23"/>
        </w:rPr>
        <w:t xml:space="preserve"> = 28% x 50% x 900 000 zł = 126 000 zł</w:t>
      </w:r>
    </w:p>
    <w:p w14:paraId="618A9FBD" w14:textId="77777777" w:rsidR="00E05D9F" w:rsidRDefault="00E05D9F">
      <w:pPr>
        <w:spacing w:line="180" w:lineRule="exact"/>
        <w:rPr>
          <w:sz w:val="23"/>
        </w:rPr>
      </w:pPr>
    </w:p>
    <w:p w14:paraId="1E1F048E" w14:textId="77777777" w:rsidR="00E05D9F" w:rsidRDefault="00E05D9F" w:rsidP="00FE1021">
      <w:pPr>
        <w:numPr>
          <w:ilvl w:val="0"/>
          <w:numId w:val="30"/>
        </w:numPr>
        <w:tabs>
          <w:tab w:val="left" w:pos="228"/>
        </w:tabs>
        <w:spacing w:line="0" w:lineRule="atLeast"/>
        <w:ind w:left="228" w:hanging="228"/>
        <w:rPr>
          <w:sz w:val="23"/>
        </w:rPr>
      </w:pPr>
      <w:r>
        <w:rPr>
          <w:sz w:val="23"/>
        </w:rPr>
        <w:t>Z</w:t>
      </w:r>
      <w:r>
        <w:rPr>
          <w:sz w:val="27"/>
          <w:vertAlign w:val="subscript"/>
        </w:rPr>
        <w:t>n</w:t>
      </w:r>
      <w:r>
        <w:rPr>
          <w:sz w:val="23"/>
        </w:rPr>
        <w:t xml:space="preserve"> = 750 000 zł – (648 000 zł + 126 000 zł) = (-)24 000 zł.</w:t>
      </w:r>
    </w:p>
    <w:p w14:paraId="26FE8ED5" w14:textId="77777777" w:rsidR="00E05D9F" w:rsidRDefault="00E05D9F">
      <w:pPr>
        <w:spacing w:line="200" w:lineRule="exact"/>
        <w:rPr>
          <w:rFonts w:ascii="Times New Roman" w:eastAsia="Times New Roman" w:hAnsi="Times New Roman"/>
        </w:rPr>
      </w:pPr>
    </w:p>
    <w:p w14:paraId="0EBA53A7" w14:textId="77777777" w:rsidR="00E05D9F" w:rsidRDefault="00E05D9F">
      <w:pPr>
        <w:spacing w:line="368" w:lineRule="exact"/>
        <w:rPr>
          <w:rFonts w:ascii="Times New Roman" w:eastAsia="Times New Roman" w:hAnsi="Times New Roman"/>
        </w:rPr>
      </w:pPr>
    </w:p>
    <w:p w14:paraId="1D27F214" w14:textId="77777777" w:rsidR="00E05D9F" w:rsidRDefault="00E05D9F">
      <w:pPr>
        <w:spacing w:line="0" w:lineRule="atLeast"/>
        <w:ind w:left="8868"/>
      </w:pPr>
      <w:r>
        <w:t>10</w:t>
      </w:r>
    </w:p>
    <w:p w14:paraId="207EBCE3" w14:textId="77777777" w:rsidR="00E05D9F" w:rsidRDefault="00E05D9F">
      <w:pPr>
        <w:spacing w:line="0" w:lineRule="atLeast"/>
        <w:ind w:left="8868"/>
        <w:sectPr w:rsidR="00E05D9F" w:rsidSect="00F716F9">
          <w:pgSz w:w="11920" w:h="16845"/>
          <w:pgMar w:top="1366" w:right="1410" w:bottom="1440" w:left="1412" w:header="0" w:footer="68" w:gutter="0"/>
          <w:cols w:space="0" w:equalWidth="0">
            <w:col w:w="9088"/>
          </w:cols>
          <w:docGrid w:linePitch="360"/>
        </w:sectPr>
      </w:pPr>
    </w:p>
    <w:p w14:paraId="39211F37" w14:textId="77777777" w:rsidR="00E05D9F" w:rsidRDefault="00E05D9F">
      <w:pPr>
        <w:spacing w:line="13" w:lineRule="exact"/>
        <w:rPr>
          <w:rFonts w:ascii="Times New Roman" w:eastAsia="Times New Roman" w:hAnsi="Times New Roman"/>
        </w:rPr>
      </w:pPr>
      <w:bookmarkStart w:id="10" w:name="page11"/>
      <w:bookmarkEnd w:id="10"/>
    </w:p>
    <w:p w14:paraId="46B75726" w14:textId="77777777" w:rsidR="00E05D9F" w:rsidRDefault="00E05D9F">
      <w:pPr>
        <w:spacing w:line="249" w:lineRule="auto"/>
        <w:ind w:left="8"/>
        <w:jc w:val="both"/>
        <w:rPr>
          <w:sz w:val="23"/>
        </w:rPr>
      </w:pPr>
      <w:r>
        <w:rPr>
          <w:sz w:val="23"/>
        </w:rPr>
        <w:t>Ponieważ kwota przypadająca do zwrotu jest mniejsza od zera, oznacza to, że w danym roku nie wystąpiło nadmierne finansowanie publiczne działalności gospodarczej prowadzonej na infrastrukturze badawczej, zatem nie ma obowiązku zwrotu dofinansowania. Natomiast 126 000 zł podlega legalizacji pomocy, o której mowa w punkcie VII.</w:t>
      </w:r>
    </w:p>
    <w:p w14:paraId="0297224D" w14:textId="77777777" w:rsidR="00E05D9F" w:rsidRDefault="00E05D9F">
      <w:pPr>
        <w:spacing w:line="200" w:lineRule="exact"/>
        <w:rPr>
          <w:rFonts w:ascii="Times New Roman" w:eastAsia="Times New Roman" w:hAnsi="Times New Roman"/>
        </w:rPr>
      </w:pPr>
    </w:p>
    <w:p w14:paraId="7B0BA11C" w14:textId="77777777" w:rsidR="00E05D9F" w:rsidRDefault="00E05D9F">
      <w:pPr>
        <w:spacing w:line="200" w:lineRule="exact"/>
        <w:rPr>
          <w:rFonts w:ascii="Times New Roman" w:eastAsia="Times New Roman" w:hAnsi="Times New Roman"/>
        </w:rPr>
      </w:pPr>
    </w:p>
    <w:p w14:paraId="0830B7C6" w14:textId="77777777" w:rsidR="00E05D9F" w:rsidRDefault="00E05D9F">
      <w:pPr>
        <w:spacing w:line="200" w:lineRule="exact"/>
        <w:rPr>
          <w:rFonts w:ascii="Times New Roman" w:eastAsia="Times New Roman" w:hAnsi="Times New Roman"/>
        </w:rPr>
      </w:pPr>
    </w:p>
    <w:p w14:paraId="5006D011" w14:textId="77777777" w:rsidR="00E05D9F" w:rsidRDefault="00E05D9F">
      <w:pPr>
        <w:spacing w:line="231" w:lineRule="exact"/>
        <w:rPr>
          <w:rFonts w:ascii="Times New Roman" w:eastAsia="Times New Roman" w:hAnsi="Times New Roman"/>
        </w:rPr>
      </w:pPr>
    </w:p>
    <w:p w14:paraId="3068EB4D" w14:textId="77777777" w:rsidR="00E05D9F" w:rsidRDefault="00E05D9F" w:rsidP="00FE1021">
      <w:pPr>
        <w:numPr>
          <w:ilvl w:val="0"/>
          <w:numId w:val="31"/>
        </w:numPr>
        <w:tabs>
          <w:tab w:val="left" w:pos="713"/>
        </w:tabs>
        <w:spacing w:line="239" w:lineRule="auto"/>
        <w:ind w:left="8" w:hanging="8"/>
        <w:jc w:val="both"/>
        <w:rPr>
          <w:b/>
          <w:sz w:val="23"/>
        </w:rPr>
      </w:pPr>
      <w:r>
        <w:rPr>
          <w:b/>
          <w:sz w:val="23"/>
        </w:rPr>
        <w:t>Zasady stosowania mechanizmu monitorowania i wycofania w przypadku, gdy umowa o dofinansowanie przewiduje zarówno gospodarcze, jak i niegospodarcze wykorzystanie dofinansowanej infrastruktury</w:t>
      </w:r>
    </w:p>
    <w:p w14:paraId="4417BB9E" w14:textId="77777777" w:rsidR="00E05D9F" w:rsidRDefault="00E05D9F">
      <w:pPr>
        <w:spacing w:line="152" w:lineRule="exact"/>
        <w:rPr>
          <w:rFonts w:ascii="Times New Roman" w:eastAsia="Times New Roman" w:hAnsi="Times New Roman"/>
        </w:rPr>
      </w:pPr>
    </w:p>
    <w:p w14:paraId="5D8583A6" w14:textId="77777777" w:rsidR="00E05D9F" w:rsidRDefault="00E05D9F">
      <w:pPr>
        <w:spacing w:line="275" w:lineRule="auto"/>
        <w:ind w:left="8"/>
        <w:jc w:val="both"/>
        <w:rPr>
          <w:sz w:val="21"/>
        </w:rPr>
      </w:pPr>
      <w:r>
        <w:rPr>
          <w:sz w:val="21"/>
        </w:rPr>
        <w:t>Przedsiębiorca otrzymał finansowanie publiczne na zakup/wytworzenie infrastruktury o 10-letnim okresie amortyzacji. Z opisu projektu oraz zawartej umowy wynika, że działalność gospodarcza będzie wynosić 40% rocznych zasobów danego podmiotu, a działalność niegospodarcza pozostałe 60%. Intensywność pomocy publicznej wynosi 50% kosztów kwalifikowalnych.</w:t>
      </w:r>
    </w:p>
    <w:p w14:paraId="66185CAE" w14:textId="77777777" w:rsidR="00E05D9F" w:rsidRDefault="00E05D9F">
      <w:pPr>
        <w:spacing w:line="252" w:lineRule="exact"/>
        <w:rPr>
          <w:rFonts w:ascii="Times New Roman" w:eastAsia="Times New Roman" w:hAnsi="Times New Roman"/>
        </w:rPr>
      </w:pPr>
    </w:p>
    <w:p w14:paraId="4FA87632" w14:textId="77777777" w:rsidR="00E05D9F" w:rsidRDefault="00E05D9F">
      <w:pPr>
        <w:spacing w:line="230" w:lineRule="auto"/>
        <w:ind w:left="8" w:right="40"/>
        <w:jc w:val="both"/>
        <w:rPr>
          <w:sz w:val="23"/>
        </w:rPr>
      </w:pPr>
      <w:r>
        <w:rPr>
          <w:sz w:val="23"/>
        </w:rPr>
        <w:t>Zastosowany mechanizm monitorowania wskazuje następujące proporcje poszczególnych typów działalności prowadzonej na infrastrukturze:</w:t>
      </w:r>
    </w:p>
    <w:p w14:paraId="0CCB4717" w14:textId="77777777" w:rsidR="00E05D9F" w:rsidRDefault="00E05D9F">
      <w:pPr>
        <w:spacing w:line="231" w:lineRule="exact"/>
        <w:rPr>
          <w:rFonts w:ascii="Times New Roman" w:eastAsia="Times New Roman" w:hAnsi="Times New Roman"/>
        </w:rPr>
      </w:pPr>
    </w:p>
    <w:p w14:paraId="6D72F88C" w14:textId="77777777" w:rsidR="00E05D9F" w:rsidRDefault="00E05D9F">
      <w:pPr>
        <w:spacing w:line="0" w:lineRule="atLeast"/>
        <w:ind w:left="8"/>
        <w:rPr>
          <w:sz w:val="23"/>
        </w:rPr>
      </w:pPr>
      <w:r>
        <w:rPr>
          <w:sz w:val="23"/>
        </w:rPr>
        <w:t>Rok 1: 60% działalności niegospodarczej; 40% działalności gospodarczej - ok</w:t>
      </w:r>
    </w:p>
    <w:p w14:paraId="6EB5FFBA" w14:textId="77777777" w:rsidR="00E05D9F" w:rsidRDefault="00E05D9F">
      <w:pPr>
        <w:spacing w:line="110" w:lineRule="exact"/>
        <w:rPr>
          <w:rFonts w:ascii="Times New Roman" w:eastAsia="Times New Roman" w:hAnsi="Times New Roman"/>
        </w:rPr>
      </w:pPr>
    </w:p>
    <w:p w14:paraId="57207FED" w14:textId="77777777" w:rsidR="00E05D9F" w:rsidRDefault="00E05D9F">
      <w:pPr>
        <w:spacing w:line="0" w:lineRule="atLeast"/>
        <w:ind w:left="8"/>
        <w:rPr>
          <w:sz w:val="23"/>
        </w:rPr>
      </w:pPr>
      <w:r>
        <w:rPr>
          <w:sz w:val="23"/>
        </w:rPr>
        <w:t>Rok 2: 70% działalności niegospodarczej; 30% działalności gospodarczej - ok</w:t>
      </w:r>
    </w:p>
    <w:p w14:paraId="14D87C98" w14:textId="77777777" w:rsidR="00E05D9F" w:rsidRDefault="00E05D9F">
      <w:pPr>
        <w:spacing w:line="110" w:lineRule="exact"/>
        <w:rPr>
          <w:rFonts w:ascii="Times New Roman" w:eastAsia="Times New Roman" w:hAnsi="Times New Roman"/>
        </w:rPr>
      </w:pPr>
    </w:p>
    <w:p w14:paraId="5030905C" w14:textId="77777777" w:rsidR="00E05D9F" w:rsidRDefault="00E05D9F">
      <w:pPr>
        <w:spacing w:line="0" w:lineRule="atLeast"/>
        <w:ind w:left="8"/>
        <w:rPr>
          <w:sz w:val="23"/>
        </w:rPr>
      </w:pPr>
      <w:r>
        <w:rPr>
          <w:sz w:val="23"/>
        </w:rPr>
        <w:t>Rok 3: 65% działalności niegospodarczej; 35% działalności gospodarczej - ok</w:t>
      </w:r>
    </w:p>
    <w:p w14:paraId="721EFBA6" w14:textId="77777777" w:rsidR="00E05D9F" w:rsidRDefault="00E05D9F">
      <w:pPr>
        <w:spacing w:line="94" w:lineRule="exact"/>
        <w:rPr>
          <w:rFonts w:ascii="Times New Roman" w:eastAsia="Times New Roman" w:hAnsi="Times New Roman"/>
        </w:rPr>
      </w:pPr>
    </w:p>
    <w:p w14:paraId="29A91487" w14:textId="77777777" w:rsidR="00E05D9F" w:rsidRDefault="00E05D9F">
      <w:pPr>
        <w:spacing w:line="0" w:lineRule="atLeast"/>
        <w:ind w:left="8"/>
        <w:rPr>
          <w:sz w:val="23"/>
        </w:rPr>
      </w:pPr>
      <w:r>
        <w:rPr>
          <w:sz w:val="23"/>
        </w:rPr>
        <w:t>Rok 4: 60% działalności niegospodarczej; 40% działalności gospodarczej - ok</w:t>
      </w:r>
    </w:p>
    <w:p w14:paraId="56855762" w14:textId="77777777" w:rsidR="00E05D9F" w:rsidRDefault="00E05D9F">
      <w:pPr>
        <w:spacing w:line="166" w:lineRule="exact"/>
        <w:rPr>
          <w:rFonts w:ascii="Times New Roman" w:eastAsia="Times New Roman" w:hAnsi="Times New Roman"/>
        </w:rPr>
      </w:pPr>
    </w:p>
    <w:p w14:paraId="54762A5C" w14:textId="77777777" w:rsidR="00E05D9F" w:rsidRDefault="00E05D9F">
      <w:pPr>
        <w:spacing w:line="230" w:lineRule="auto"/>
        <w:ind w:left="8"/>
        <w:jc w:val="both"/>
        <w:rPr>
          <w:sz w:val="23"/>
        </w:rPr>
      </w:pPr>
      <w:r>
        <w:rPr>
          <w:sz w:val="23"/>
        </w:rPr>
        <w:t>Rok 5: 40% działalności niegospodarczej; 60% działalności gospodarczej – obowiązek dokonania zwrotu części dofinansowania</w:t>
      </w:r>
    </w:p>
    <w:p w14:paraId="5443EA81" w14:textId="77777777" w:rsidR="00E05D9F" w:rsidRDefault="00E05D9F">
      <w:pPr>
        <w:spacing w:line="111" w:lineRule="exact"/>
        <w:rPr>
          <w:rFonts w:ascii="Times New Roman" w:eastAsia="Times New Roman" w:hAnsi="Times New Roman"/>
        </w:rPr>
      </w:pPr>
    </w:p>
    <w:p w14:paraId="4C8843F5" w14:textId="77777777" w:rsidR="00E05D9F" w:rsidRDefault="00E05D9F">
      <w:pPr>
        <w:spacing w:line="0" w:lineRule="atLeast"/>
        <w:ind w:left="8"/>
        <w:rPr>
          <w:sz w:val="23"/>
        </w:rPr>
      </w:pPr>
      <w:r>
        <w:rPr>
          <w:sz w:val="23"/>
        </w:rPr>
        <w:t>Rok 6: (...)</w:t>
      </w:r>
    </w:p>
    <w:p w14:paraId="22A3F9D4" w14:textId="77777777" w:rsidR="00E05D9F" w:rsidRDefault="00E05D9F">
      <w:pPr>
        <w:spacing w:line="110" w:lineRule="exact"/>
        <w:rPr>
          <w:rFonts w:ascii="Times New Roman" w:eastAsia="Times New Roman" w:hAnsi="Times New Roman"/>
        </w:rPr>
      </w:pPr>
    </w:p>
    <w:p w14:paraId="07B3FC1B" w14:textId="77777777" w:rsidR="00E05D9F" w:rsidRDefault="00E05D9F">
      <w:pPr>
        <w:spacing w:line="0" w:lineRule="atLeast"/>
        <w:ind w:left="8"/>
        <w:rPr>
          <w:sz w:val="23"/>
        </w:rPr>
      </w:pPr>
      <w:r>
        <w:rPr>
          <w:sz w:val="23"/>
        </w:rPr>
        <w:t>Rok 7: (...)</w:t>
      </w:r>
    </w:p>
    <w:p w14:paraId="1EDB533B" w14:textId="77777777" w:rsidR="00E05D9F" w:rsidRDefault="00E05D9F">
      <w:pPr>
        <w:spacing w:line="110" w:lineRule="exact"/>
        <w:rPr>
          <w:rFonts w:ascii="Times New Roman" w:eastAsia="Times New Roman" w:hAnsi="Times New Roman"/>
        </w:rPr>
      </w:pPr>
    </w:p>
    <w:p w14:paraId="5F14B37B" w14:textId="77777777" w:rsidR="00E05D9F" w:rsidRDefault="00E05D9F">
      <w:pPr>
        <w:spacing w:line="0" w:lineRule="atLeast"/>
        <w:ind w:left="8"/>
        <w:rPr>
          <w:sz w:val="23"/>
        </w:rPr>
      </w:pPr>
      <w:r>
        <w:rPr>
          <w:sz w:val="23"/>
        </w:rPr>
        <w:t>Rok 8: (...)</w:t>
      </w:r>
    </w:p>
    <w:p w14:paraId="3836669A" w14:textId="77777777" w:rsidR="00E05D9F" w:rsidRDefault="00E05D9F">
      <w:pPr>
        <w:spacing w:line="109" w:lineRule="exact"/>
        <w:rPr>
          <w:rFonts w:ascii="Times New Roman" w:eastAsia="Times New Roman" w:hAnsi="Times New Roman"/>
        </w:rPr>
      </w:pPr>
    </w:p>
    <w:p w14:paraId="1A0AF186" w14:textId="77777777" w:rsidR="00E05D9F" w:rsidRDefault="00E05D9F">
      <w:pPr>
        <w:spacing w:line="0" w:lineRule="atLeast"/>
        <w:ind w:left="8"/>
        <w:rPr>
          <w:sz w:val="23"/>
        </w:rPr>
      </w:pPr>
      <w:r>
        <w:rPr>
          <w:sz w:val="23"/>
        </w:rPr>
        <w:t>Rok 9: (...)</w:t>
      </w:r>
    </w:p>
    <w:p w14:paraId="30E05169" w14:textId="77777777" w:rsidR="00E05D9F" w:rsidRDefault="00E05D9F">
      <w:pPr>
        <w:spacing w:line="110" w:lineRule="exact"/>
        <w:rPr>
          <w:rFonts w:ascii="Times New Roman" w:eastAsia="Times New Roman" w:hAnsi="Times New Roman"/>
        </w:rPr>
      </w:pPr>
    </w:p>
    <w:p w14:paraId="289FF7AC" w14:textId="77777777" w:rsidR="00E05D9F" w:rsidRDefault="00E05D9F">
      <w:pPr>
        <w:spacing w:line="0" w:lineRule="atLeast"/>
        <w:ind w:left="8"/>
        <w:rPr>
          <w:sz w:val="23"/>
        </w:rPr>
      </w:pPr>
      <w:r>
        <w:rPr>
          <w:sz w:val="23"/>
        </w:rPr>
        <w:t>Rok 10: (...)</w:t>
      </w:r>
    </w:p>
    <w:p w14:paraId="1BED42C0" w14:textId="77777777" w:rsidR="00E05D9F" w:rsidRDefault="00E05D9F">
      <w:pPr>
        <w:spacing w:line="230" w:lineRule="exact"/>
        <w:rPr>
          <w:rFonts w:ascii="Times New Roman" w:eastAsia="Times New Roman" w:hAnsi="Times New Roman"/>
        </w:rPr>
      </w:pPr>
    </w:p>
    <w:p w14:paraId="78267B3D" w14:textId="77777777" w:rsidR="00E05D9F" w:rsidRDefault="00E05D9F">
      <w:pPr>
        <w:spacing w:line="0" w:lineRule="atLeast"/>
        <w:ind w:left="8"/>
        <w:rPr>
          <w:sz w:val="23"/>
          <w:u w:val="single"/>
        </w:rPr>
      </w:pPr>
      <w:r>
        <w:rPr>
          <w:sz w:val="23"/>
          <w:u w:val="single"/>
        </w:rPr>
        <w:t>Mechanizm wyliczania kwoty podlegającej zwrotowi przez beneficjenta:</w:t>
      </w:r>
    </w:p>
    <w:p w14:paraId="7752DBE7" w14:textId="77777777" w:rsidR="00E05D9F" w:rsidRDefault="00E05D9F">
      <w:pPr>
        <w:spacing w:line="271" w:lineRule="exact"/>
        <w:rPr>
          <w:rFonts w:ascii="Times New Roman" w:eastAsia="Times New Roman" w:hAnsi="Times New Roman"/>
        </w:rPr>
      </w:pPr>
    </w:p>
    <w:p w14:paraId="40CB19CA" w14:textId="77777777" w:rsidR="00E05D9F" w:rsidRDefault="00E05D9F">
      <w:pPr>
        <w:spacing w:line="245" w:lineRule="auto"/>
        <w:ind w:left="8" w:right="20"/>
        <w:jc w:val="both"/>
        <w:rPr>
          <w:sz w:val="23"/>
        </w:rPr>
      </w:pPr>
      <w:r>
        <w:rPr>
          <w:sz w:val="23"/>
        </w:rPr>
        <w:t>Przy założeniu, że całkowite koszty kwalifikowalne infrastruktury wynoszą 10 000 000 zł i</w:t>
      </w:r>
      <w:r w:rsidR="00DA162E">
        <w:rPr>
          <w:sz w:val="23"/>
        </w:rPr>
        <w:t> </w:t>
      </w:r>
      <w:r>
        <w:rPr>
          <w:sz w:val="23"/>
        </w:rPr>
        <w:t>udzielono wsparcia w maksymalnej dopuszczalnej wielkości (100% dla działalności niegospodarczej i 50% dla działalności gospodarczej), beneficjent otrzymał:</w:t>
      </w:r>
    </w:p>
    <w:p w14:paraId="4AA93160" w14:textId="77777777" w:rsidR="00E05D9F" w:rsidRDefault="00E05D9F">
      <w:pPr>
        <w:spacing w:line="182" w:lineRule="exact"/>
        <w:rPr>
          <w:rFonts w:ascii="Times New Roman" w:eastAsia="Times New Roman" w:hAnsi="Times New Roman"/>
        </w:rPr>
      </w:pPr>
    </w:p>
    <w:p w14:paraId="57D8054B" w14:textId="77777777" w:rsidR="00E05D9F" w:rsidRDefault="00E05D9F">
      <w:pPr>
        <w:spacing w:line="0" w:lineRule="atLeast"/>
        <w:ind w:left="8"/>
        <w:rPr>
          <w:sz w:val="23"/>
        </w:rPr>
      </w:pPr>
      <w:r>
        <w:rPr>
          <w:b/>
          <w:sz w:val="23"/>
        </w:rPr>
        <w:t>FP</w:t>
      </w:r>
      <w:r>
        <w:rPr>
          <w:sz w:val="23"/>
        </w:rPr>
        <w:t xml:space="preserve"> = </w:t>
      </w:r>
      <w:r>
        <w:rPr>
          <w:b/>
          <w:sz w:val="23"/>
        </w:rPr>
        <w:t>DNG x I</w:t>
      </w:r>
      <w:r>
        <w:rPr>
          <w:b/>
          <w:sz w:val="27"/>
          <w:vertAlign w:val="subscript"/>
        </w:rPr>
        <w:t>DNG</w:t>
      </w:r>
      <w:r>
        <w:rPr>
          <w:b/>
          <w:sz w:val="23"/>
        </w:rPr>
        <w:t xml:space="preserve"> x KK + DG x I</w:t>
      </w:r>
      <w:r>
        <w:rPr>
          <w:b/>
          <w:sz w:val="27"/>
          <w:vertAlign w:val="subscript"/>
        </w:rPr>
        <w:t>DG</w:t>
      </w:r>
      <w:r>
        <w:rPr>
          <w:b/>
          <w:sz w:val="23"/>
        </w:rPr>
        <w:t xml:space="preserve"> x KK</w:t>
      </w:r>
      <w:r>
        <w:rPr>
          <w:sz w:val="23"/>
        </w:rPr>
        <w:t>,</w:t>
      </w:r>
    </w:p>
    <w:p w14:paraId="154FEAC9" w14:textId="77777777" w:rsidR="00E05D9F" w:rsidRDefault="00E05D9F">
      <w:pPr>
        <w:spacing w:line="265" w:lineRule="exact"/>
        <w:rPr>
          <w:rFonts w:ascii="Times New Roman" w:eastAsia="Times New Roman" w:hAnsi="Times New Roman"/>
        </w:rPr>
      </w:pPr>
    </w:p>
    <w:p w14:paraId="35EEE102" w14:textId="77777777" w:rsidR="00E05D9F" w:rsidRDefault="00E05D9F">
      <w:pPr>
        <w:spacing w:line="245" w:lineRule="auto"/>
        <w:ind w:left="8" w:right="20"/>
        <w:jc w:val="both"/>
        <w:rPr>
          <w:sz w:val="23"/>
        </w:rPr>
      </w:pPr>
      <w:r>
        <w:rPr>
          <w:sz w:val="23"/>
        </w:rPr>
        <w:t>gdzie DNG oznacza procentowy udział działalności niegospodarczej w ramach rocznej wydajności infrastruktury w projekcie, a DG – procentowy udział działalności gospodarczej w ramach rocznej wydajności infrastruktury w projekcie,</w:t>
      </w:r>
    </w:p>
    <w:p w14:paraId="283AE837" w14:textId="77777777" w:rsidR="00E05D9F" w:rsidRDefault="00E05D9F">
      <w:pPr>
        <w:spacing w:line="200" w:lineRule="exact"/>
        <w:rPr>
          <w:rFonts w:ascii="Times New Roman" w:eastAsia="Times New Roman" w:hAnsi="Times New Roman"/>
        </w:rPr>
      </w:pPr>
    </w:p>
    <w:p w14:paraId="76EB3B54" w14:textId="77777777" w:rsidR="00E05D9F" w:rsidRDefault="00E05D9F">
      <w:pPr>
        <w:spacing w:line="200" w:lineRule="exact"/>
        <w:rPr>
          <w:rFonts w:ascii="Times New Roman" w:eastAsia="Times New Roman" w:hAnsi="Times New Roman"/>
        </w:rPr>
      </w:pPr>
    </w:p>
    <w:p w14:paraId="394FEBF1" w14:textId="77777777" w:rsidR="00E05D9F" w:rsidRDefault="00E05D9F">
      <w:pPr>
        <w:spacing w:line="229" w:lineRule="exact"/>
        <w:rPr>
          <w:rFonts w:ascii="Times New Roman" w:eastAsia="Times New Roman" w:hAnsi="Times New Roman"/>
        </w:rPr>
      </w:pPr>
    </w:p>
    <w:p w14:paraId="4A1B6214" w14:textId="77777777" w:rsidR="00E05D9F" w:rsidRDefault="00E05D9F">
      <w:pPr>
        <w:spacing w:line="0" w:lineRule="atLeast"/>
        <w:ind w:left="8868"/>
      </w:pPr>
      <w:r>
        <w:t>11</w:t>
      </w:r>
    </w:p>
    <w:p w14:paraId="178E77D4" w14:textId="77777777" w:rsidR="00E05D9F" w:rsidRDefault="00E05D9F">
      <w:pPr>
        <w:spacing w:line="0" w:lineRule="atLeast"/>
        <w:ind w:left="8868"/>
        <w:sectPr w:rsidR="00E05D9F" w:rsidSect="00F716F9">
          <w:pgSz w:w="11920" w:h="16845"/>
          <w:pgMar w:top="1440" w:right="1410" w:bottom="1440" w:left="1412" w:header="0" w:footer="210" w:gutter="0"/>
          <w:cols w:space="0" w:equalWidth="0">
            <w:col w:w="9088"/>
          </w:cols>
          <w:docGrid w:linePitch="360"/>
        </w:sectPr>
      </w:pPr>
    </w:p>
    <w:p w14:paraId="4F97BC55" w14:textId="77777777" w:rsidR="00E05D9F" w:rsidRDefault="00E05D9F">
      <w:pPr>
        <w:spacing w:line="0" w:lineRule="atLeast"/>
        <w:ind w:left="8"/>
        <w:rPr>
          <w:sz w:val="23"/>
        </w:rPr>
      </w:pPr>
      <w:bookmarkStart w:id="11" w:name="page12"/>
      <w:bookmarkEnd w:id="11"/>
      <w:r>
        <w:rPr>
          <w:sz w:val="23"/>
        </w:rPr>
        <w:lastRenderedPageBreak/>
        <w:t>FP = 60% x 100% x 10 000 000 zł + 40% x 50% x 10 000 000 zł = 6 000 000 zł + 2 000 000 zł =</w:t>
      </w:r>
    </w:p>
    <w:p w14:paraId="0B20EB30" w14:textId="77777777" w:rsidR="00E05D9F" w:rsidRDefault="00E05D9F">
      <w:pPr>
        <w:spacing w:line="34" w:lineRule="exact"/>
        <w:rPr>
          <w:rFonts w:ascii="Times New Roman" w:eastAsia="Times New Roman" w:hAnsi="Times New Roman"/>
        </w:rPr>
      </w:pPr>
    </w:p>
    <w:p w14:paraId="08EB4FE8" w14:textId="77777777" w:rsidR="00E05D9F" w:rsidRDefault="00E05D9F" w:rsidP="00FE1021">
      <w:pPr>
        <w:numPr>
          <w:ilvl w:val="0"/>
          <w:numId w:val="32"/>
        </w:numPr>
        <w:tabs>
          <w:tab w:val="left" w:pos="168"/>
        </w:tabs>
        <w:spacing w:line="0" w:lineRule="atLeast"/>
        <w:ind w:left="168" w:hanging="168"/>
        <w:rPr>
          <w:sz w:val="23"/>
        </w:rPr>
      </w:pPr>
      <w:r>
        <w:rPr>
          <w:sz w:val="23"/>
        </w:rPr>
        <w:t>000 000 zł.</w:t>
      </w:r>
    </w:p>
    <w:p w14:paraId="466524FD" w14:textId="77777777" w:rsidR="00E05D9F" w:rsidRDefault="00E05D9F">
      <w:pPr>
        <w:spacing w:line="286" w:lineRule="exact"/>
        <w:rPr>
          <w:rFonts w:ascii="Times New Roman" w:eastAsia="Times New Roman" w:hAnsi="Times New Roman"/>
        </w:rPr>
      </w:pPr>
    </w:p>
    <w:p w14:paraId="3148D01C" w14:textId="77777777" w:rsidR="00E05D9F" w:rsidRDefault="00E05D9F">
      <w:pPr>
        <w:spacing w:line="273" w:lineRule="auto"/>
        <w:ind w:left="8"/>
        <w:jc w:val="both"/>
        <w:rPr>
          <w:sz w:val="21"/>
        </w:rPr>
      </w:pPr>
      <w:r>
        <w:rPr>
          <w:sz w:val="21"/>
        </w:rPr>
        <w:t>Mając na względzie konieczność monitorowania wykorzystania zasobów infrastruktury w cyklach rocznych, udzielone dofinansowanie oraz koszty kwalifikowalne infrastruktury należy podzielić przez liczbę lat odpowiadających okresowi amortyzacji infrastruktury – w omawianym przykładzie 10.</w:t>
      </w:r>
    </w:p>
    <w:p w14:paraId="51647F9D" w14:textId="77777777" w:rsidR="00E05D9F" w:rsidRDefault="00E05D9F">
      <w:pPr>
        <w:spacing w:line="195" w:lineRule="exact"/>
        <w:rPr>
          <w:rFonts w:ascii="Times New Roman" w:eastAsia="Times New Roman" w:hAnsi="Times New Roman"/>
        </w:rPr>
      </w:pPr>
    </w:p>
    <w:p w14:paraId="178081C7" w14:textId="77777777" w:rsidR="00E05D9F" w:rsidRDefault="00E05D9F">
      <w:pPr>
        <w:spacing w:line="0" w:lineRule="atLeast"/>
        <w:ind w:left="8"/>
        <w:rPr>
          <w:sz w:val="23"/>
        </w:rPr>
      </w:pPr>
      <w:r>
        <w:rPr>
          <w:sz w:val="23"/>
        </w:rPr>
        <w:t>Zatem:</w:t>
      </w:r>
    </w:p>
    <w:p w14:paraId="37FF7DAB" w14:textId="77777777" w:rsidR="00E05D9F" w:rsidRDefault="00E05D9F">
      <w:pPr>
        <w:spacing w:line="230" w:lineRule="exact"/>
        <w:rPr>
          <w:rFonts w:ascii="Times New Roman" w:eastAsia="Times New Roman" w:hAnsi="Times New Roman"/>
        </w:rPr>
      </w:pPr>
    </w:p>
    <w:p w14:paraId="5F84E2CF" w14:textId="77777777" w:rsidR="00E05D9F" w:rsidRDefault="00E05D9F" w:rsidP="00FE1021">
      <w:pPr>
        <w:numPr>
          <w:ilvl w:val="0"/>
          <w:numId w:val="33"/>
        </w:numPr>
        <w:tabs>
          <w:tab w:val="left" w:pos="128"/>
        </w:tabs>
        <w:spacing w:line="0" w:lineRule="atLeast"/>
        <w:ind w:left="128" w:hanging="128"/>
        <w:rPr>
          <w:sz w:val="23"/>
        </w:rPr>
      </w:pPr>
      <w:r>
        <w:rPr>
          <w:sz w:val="23"/>
        </w:rPr>
        <w:t>„roczna alokacja” kosztów wynosi:</w:t>
      </w:r>
    </w:p>
    <w:p w14:paraId="07FE094D" w14:textId="77777777" w:rsidR="00E05D9F" w:rsidRDefault="00E05D9F">
      <w:pPr>
        <w:spacing w:line="230" w:lineRule="exact"/>
        <w:rPr>
          <w:rFonts w:ascii="Times New Roman" w:eastAsia="Times New Roman" w:hAnsi="Times New Roman"/>
        </w:rPr>
      </w:pPr>
    </w:p>
    <w:p w14:paraId="37B78A3E" w14:textId="77777777" w:rsidR="00E05D9F" w:rsidRDefault="00E05D9F">
      <w:pPr>
        <w:spacing w:line="0" w:lineRule="atLeast"/>
        <w:ind w:left="8"/>
        <w:rPr>
          <w:sz w:val="23"/>
        </w:rPr>
      </w:pPr>
      <w:r>
        <w:rPr>
          <w:sz w:val="23"/>
        </w:rPr>
        <w:t>RKK = 1/10 x 10 000 000 zł = 1 000 000 zł,</w:t>
      </w:r>
    </w:p>
    <w:p w14:paraId="173F3A01" w14:textId="77777777" w:rsidR="00E05D9F" w:rsidRDefault="00E05D9F">
      <w:pPr>
        <w:spacing w:line="286" w:lineRule="exact"/>
        <w:rPr>
          <w:rFonts w:ascii="Times New Roman" w:eastAsia="Times New Roman" w:hAnsi="Times New Roman"/>
        </w:rPr>
      </w:pPr>
    </w:p>
    <w:p w14:paraId="6FA0E4CB" w14:textId="77777777" w:rsidR="00E05D9F" w:rsidRDefault="00E05D9F" w:rsidP="00FE1021">
      <w:pPr>
        <w:numPr>
          <w:ilvl w:val="0"/>
          <w:numId w:val="34"/>
        </w:numPr>
        <w:tabs>
          <w:tab w:val="left" w:pos="128"/>
        </w:tabs>
        <w:spacing w:line="388" w:lineRule="auto"/>
        <w:ind w:left="8" w:right="4020" w:hanging="8"/>
        <w:rPr>
          <w:sz w:val="23"/>
        </w:rPr>
      </w:pPr>
      <w:r>
        <w:rPr>
          <w:sz w:val="23"/>
        </w:rPr>
        <w:t>“roczna alokacja” udzielonego dofinansowania wynosi: RFP = 1/10 x 8 000 000 zł = 800 000 zł.</w:t>
      </w:r>
    </w:p>
    <w:p w14:paraId="0A7634F0" w14:textId="77777777" w:rsidR="00E05D9F" w:rsidRDefault="00E05D9F">
      <w:pPr>
        <w:spacing w:line="113" w:lineRule="exact"/>
        <w:rPr>
          <w:rFonts w:ascii="Times New Roman" w:eastAsia="Times New Roman" w:hAnsi="Times New Roman"/>
        </w:rPr>
      </w:pPr>
    </w:p>
    <w:p w14:paraId="73D991F5" w14:textId="77777777" w:rsidR="00E05D9F" w:rsidRDefault="00E05D9F">
      <w:pPr>
        <w:spacing w:line="254" w:lineRule="auto"/>
        <w:ind w:left="8" w:right="20"/>
        <w:jc w:val="both"/>
        <w:rPr>
          <w:sz w:val="23"/>
        </w:rPr>
      </w:pPr>
      <w:r>
        <w:rPr>
          <w:sz w:val="23"/>
        </w:rPr>
        <w:t>Jeżeli stosunek działalności gospodarczej do niegospodarczej przekracza poziom zakładany w</w:t>
      </w:r>
      <w:r w:rsidR="00F0089A">
        <w:rPr>
          <w:sz w:val="23"/>
        </w:rPr>
        <w:t> </w:t>
      </w:r>
      <w:r>
        <w:rPr>
          <w:sz w:val="23"/>
        </w:rPr>
        <w:t>momencie przyznania dofinansowania (40% : 60%) w danym roku referencyjnym, beneficjent powinien zwrócić jedynie część „rocznej alokacji” dofinansowania udzielonego na działalność niegospodarczą, która przekracza dopuszczalną intensywność pomocy publicznej (jako że pomoc publiczna udzielona pierwotnie na działalność gospodarczą pozostaje legalna również po zmianie zakładanych proporcji).</w:t>
      </w:r>
    </w:p>
    <w:p w14:paraId="7CC15BBC" w14:textId="77777777" w:rsidR="00E05D9F" w:rsidRDefault="00E05D9F">
      <w:pPr>
        <w:spacing w:line="274" w:lineRule="exact"/>
        <w:rPr>
          <w:rFonts w:ascii="Times New Roman" w:eastAsia="Times New Roman" w:hAnsi="Times New Roman"/>
        </w:rPr>
      </w:pPr>
    </w:p>
    <w:p w14:paraId="20E945B1" w14:textId="77777777" w:rsidR="00E05D9F" w:rsidRDefault="00E05D9F">
      <w:pPr>
        <w:spacing w:line="283" w:lineRule="auto"/>
        <w:ind w:left="8"/>
        <w:jc w:val="both"/>
        <w:rPr>
          <w:sz w:val="21"/>
        </w:rPr>
      </w:pPr>
      <w:r>
        <w:rPr>
          <w:sz w:val="21"/>
        </w:rPr>
        <w:t>Biorąc pod uwagę, że w roku 5 poziom działalności gospodarczej został przekroczony o 20 pkt procentowych względem zakładanego poziomu, dofinansowanie działalności niegospodarczej powinno w odpowiednim zakresie (20% liczone od wartości całej rocznej wydajności infrastruktury) podlegać zasadom pomocy publicznej. Mając jednocześnie na względzie, że na zakup infrastruktury badawczej wykorzystywanej do celów gospodarczych można otrzymać pomoc publiczną wynoszącą 50% kosztów kwalifikowalnych, dofinansowanie przypadające na rok 5 powinno być zredukowane</w:t>
      </w:r>
    </w:p>
    <w:p w14:paraId="30235DA9" w14:textId="77777777" w:rsidR="00E05D9F" w:rsidRDefault="00E05D9F" w:rsidP="00FE1021">
      <w:pPr>
        <w:numPr>
          <w:ilvl w:val="0"/>
          <w:numId w:val="35"/>
        </w:numPr>
        <w:tabs>
          <w:tab w:val="left" w:pos="208"/>
        </w:tabs>
        <w:spacing w:line="220" w:lineRule="auto"/>
        <w:ind w:left="208" w:hanging="208"/>
        <w:rPr>
          <w:sz w:val="23"/>
        </w:rPr>
      </w:pPr>
      <w:r>
        <w:rPr>
          <w:sz w:val="23"/>
        </w:rPr>
        <w:t>następujący sposób:</w:t>
      </w:r>
    </w:p>
    <w:p w14:paraId="57CCE560" w14:textId="77777777" w:rsidR="00E05D9F" w:rsidRDefault="00E05D9F">
      <w:pPr>
        <w:spacing w:line="286" w:lineRule="exact"/>
        <w:rPr>
          <w:rFonts w:ascii="Times New Roman" w:eastAsia="Times New Roman" w:hAnsi="Times New Roman"/>
        </w:rPr>
      </w:pPr>
    </w:p>
    <w:p w14:paraId="6A886A91" w14:textId="77777777" w:rsidR="00E05D9F" w:rsidRDefault="00E05D9F" w:rsidP="00FE1021">
      <w:pPr>
        <w:numPr>
          <w:ilvl w:val="0"/>
          <w:numId w:val="36"/>
        </w:numPr>
        <w:tabs>
          <w:tab w:val="left" w:pos="307"/>
        </w:tabs>
        <w:spacing w:line="214" w:lineRule="auto"/>
        <w:ind w:left="8" w:right="40" w:hanging="8"/>
        <w:jc w:val="both"/>
        <w:rPr>
          <w:sz w:val="23"/>
        </w:rPr>
      </w:pPr>
      <w:r>
        <w:rPr>
          <w:sz w:val="23"/>
        </w:rPr>
        <w:t>należy wyliczyć kwotę finansowania publicznego przypadającą na finansowanie działalności niegospodarczej (RADNG</w:t>
      </w:r>
      <w:r>
        <w:rPr>
          <w:b/>
          <w:sz w:val="27"/>
          <w:vertAlign w:val="subscript"/>
        </w:rPr>
        <w:t>n</w:t>
      </w:r>
      <w:r>
        <w:rPr>
          <w:sz w:val="23"/>
        </w:rPr>
        <w:t>) w danym roku (dopuszczalna intensywność wsparcia 100%):</w:t>
      </w:r>
    </w:p>
    <w:p w14:paraId="0E6D1C96" w14:textId="77777777" w:rsidR="00E05D9F" w:rsidRDefault="00E05D9F">
      <w:pPr>
        <w:spacing w:line="183" w:lineRule="exact"/>
        <w:rPr>
          <w:rFonts w:ascii="Times New Roman" w:eastAsia="Times New Roman" w:hAnsi="Times New Roman"/>
        </w:rPr>
      </w:pPr>
    </w:p>
    <w:p w14:paraId="0AEE6D27" w14:textId="77777777" w:rsidR="00E05D9F" w:rsidRPr="00C36DA5" w:rsidRDefault="00E05D9F">
      <w:pPr>
        <w:spacing w:line="0" w:lineRule="atLeast"/>
        <w:ind w:left="8"/>
        <w:rPr>
          <w:sz w:val="23"/>
          <w:lang w:val="en-US"/>
        </w:rPr>
      </w:pPr>
      <w:r w:rsidRPr="00C36DA5">
        <w:rPr>
          <w:b/>
          <w:sz w:val="23"/>
          <w:lang w:val="en-US"/>
        </w:rPr>
        <w:t>RFPDNG</w:t>
      </w:r>
      <w:r w:rsidRPr="00C36DA5">
        <w:rPr>
          <w:b/>
          <w:sz w:val="27"/>
          <w:vertAlign w:val="subscript"/>
          <w:lang w:val="en-US"/>
        </w:rPr>
        <w:t>n</w:t>
      </w:r>
      <w:r w:rsidRPr="00C36DA5">
        <w:rPr>
          <w:b/>
          <w:sz w:val="23"/>
          <w:lang w:val="en-US"/>
        </w:rPr>
        <w:t xml:space="preserve"> = DNG</w:t>
      </w:r>
      <w:r w:rsidRPr="00C36DA5">
        <w:rPr>
          <w:b/>
          <w:sz w:val="27"/>
          <w:vertAlign w:val="subscript"/>
          <w:lang w:val="en-US"/>
        </w:rPr>
        <w:t>n</w:t>
      </w:r>
      <w:r w:rsidRPr="00C36DA5">
        <w:rPr>
          <w:b/>
          <w:sz w:val="23"/>
          <w:lang w:val="en-US"/>
        </w:rPr>
        <w:t xml:space="preserve"> x I</w:t>
      </w:r>
      <w:r w:rsidRPr="00C36DA5">
        <w:rPr>
          <w:b/>
          <w:sz w:val="27"/>
          <w:vertAlign w:val="subscript"/>
          <w:lang w:val="en-US"/>
        </w:rPr>
        <w:t>DNG</w:t>
      </w:r>
      <w:r w:rsidRPr="00C36DA5">
        <w:rPr>
          <w:b/>
          <w:sz w:val="23"/>
          <w:lang w:val="en-US"/>
        </w:rPr>
        <w:t xml:space="preserve"> x RKK</w:t>
      </w:r>
      <w:r w:rsidRPr="00C36DA5">
        <w:rPr>
          <w:sz w:val="23"/>
          <w:lang w:val="en-US"/>
        </w:rPr>
        <w:t>,</w:t>
      </w:r>
    </w:p>
    <w:p w14:paraId="77DE2FA8" w14:textId="77777777" w:rsidR="00E05D9F" w:rsidRPr="00C36DA5" w:rsidRDefault="00E05D9F">
      <w:pPr>
        <w:spacing w:line="210" w:lineRule="exact"/>
        <w:rPr>
          <w:rFonts w:ascii="Times New Roman" w:eastAsia="Times New Roman" w:hAnsi="Times New Roman"/>
          <w:lang w:val="en-US"/>
        </w:rPr>
      </w:pPr>
    </w:p>
    <w:p w14:paraId="21D72C9B" w14:textId="77777777" w:rsidR="00E05D9F" w:rsidRDefault="00E05D9F">
      <w:pPr>
        <w:spacing w:line="244" w:lineRule="auto"/>
        <w:ind w:left="8" w:right="20"/>
        <w:jc w:val="both"/>
        <w:rPr>
          <w:sz w:val="23"/>
        </w:rPr>
      </w:pPr>
      <w:r>
        <w:rPr>
          <w:sz w:val="23"/>
        </w:rPr>
        <w:t>gdzie DNG</w:t>
      </w:r>
      <w:r>
        <w:rPr>
          <w:sz w:val="27"/>
          <w:vertAlign w:val="subscript"/>
        </w:rPr>
        <w:t>n</w:t>
      </w:r>
      <w:r>
        <w:rPr>
          <w:sz w:val="23"/>
        </w:rPr>
        <w:t xml:space="preserve"> oznacza procentowy udział w roku „n” działalności niegospodarczej w ramach rocznej wydajności infrastruktury, I</w:t>
      </w:r>
      <w:r>
        <w:rPr>
          <w:sz w:val="27"/>
          <w:vertAlign w:val="subscript"/>
        </w:rPr>
        <w:t>DNG</w:t>
      </w:r>
      <w:r>
        <w:rPr>
          <w:sz w:val="23"/>
        </w:rPr>
        <w:t xml:space="preserve"> - wyrażona w procentach intensywność dofinansowania infrastruktury ze środków publicznych w zakresie działalności niegospodarczej (dofinansowanie niestanowiące pomocy publicznej), RKK – „roczną alokację” kosztów kwalifikowalnych infrastruktury badawczej zakupionej/wytworzonej w ramach projektu).</w:t>
      </w:r>
    </w:p>
    <w:p w14:paraId="56D6F16D" w14:textId="77777777" w:rsidR="00E05D9F" w:rsidRDefault="00E05D9F">
      <w:pPr>
        <w:spacing w:line="228" w:lineRule="exact"/>
        <w:rPr>
          <w:rFonts w:ascii="Times New Roman" w:eastAsia="Times New Roman" w:hAnsi="Times New Roman"/>
        </w:rPr>
      </w:pPr>
    </w:p>
    <w:p w14:paraId="0EF8C881" w14:textId="77777777" w:rsidR="00E05D9F" w:rsidRDefault="00E05D9F">
      <w:pPr>
        <w:spacing w:line="0" w:lineRule="atLeast"/>
        <w:ind w:left="8"/>
        <w:rPr>
          <w:sz w:val="23"/>
        </w:rPr>
      </w:pPr>
      <w:r>
        <w:rPr>
          <w:sz w:val="23"/>
        </w:rPr>
        <w:t>W przyjętym przykładzie:</w:t>
      </w:r>
    </w:p>
    <w:p w14:paraId="7930B189" w14:textId="77777777" w:rsidR="00E05D9F" w:rsidRDefault="00E05D9F">
      <w:pPr>
        <w:spacing w:line="187" w:lineRule="exact"/>
        <w:rPr>
          <w:rFonts w:ascii="Times New Roman" w:eastAsia="Times New Roman" w:hAnsi="Times New Roman"/>
        </w:rPr>
      </w:pPr>
    </w:p>
    <w:p w14:paraId="5C17C935" w14:textId="77777777" w:rsidR="00E05D9F" w:rsidRDefault="00E05D9F">
      <w:pPr>
        <w:spacing w:line="0" w:lineRule="atLeast"/>
        <w:ind w:left="8"/>
        <w:rPr>
          <w:sz w:val="23"/>
        </w:rPr>
      </w:pPr>
      <w:r>
        <w:rPr>
          <w:sz w:val="23"/>
        </w:rPr>
        <w:t>RFPDNG</w:t>
      </w:r>
      <w:r>
        <w:rPr>
          <w:sz w:val="27"/>
          <w:vertAlign w:val="subscript"/>
        </w:rPr>
        <w:t>n</w:t>
      </w:r>
      <w:r>
        <w:rPr>
          <w:sz w:val="23"/>
        </w:rPr>
        <w:t xml:space="preserve"> = 40% x 100% x 1 000 000 zł = 400 000 zł</w:t>
      </w:r>
    </w:p>
    <w:p w14:paraId="178EDA96" w14:textId="77777777" w:rsidR="00E05D9F" w:rsidRDefault="00E05D9F">
      <w:pPr>
        <w:spacing w:line="200" w:lineRule="exact"/>
        <w:rPr>
          <w:rFonts w:ascii="Times New Roman" w:eastAsia="Times New Roman" w:hAnsi="Times New Roman"/>
        </w:rPr>
      </w:pPr>
    </w:p>
    <w:p w14:paraId="5E646849" w14:textId="77777777" w:rsidR="00E05D9F" w:rsidRDefault="00E05D9F">
      <w:pPr>
        <w:spacing w:line="248" w:lineRule="exact"/>
        <w:rPr>
          <w:rFonts w:ascii="Times New Roman" w:eastAsia="Times New Roman" w:hAnsi="Times New Roman"/>
        </w:rPr>
      </w:pPr>
    </w:p>
    <w:p w14:paraId="4D019069" w14:textId="77777777" w:rsidR="00E05D9F" w:rsidRDefault="00E05D9F">
      <w:pPr>
        <w:spacing w:line="0" w:lineRule="atLeast"/>
        <w:ind w:left="8868"/>
      </w:pPr>
      <w:r>
        <w:t>12</w:t>
      </w:r>
    </w:p>
    <w:p w14:paraId="500DE875" w14:textId="77777777" w:rsidR="00E05D9F" w:rsidRDefault="00E05D9F">
      <w:pPr>
        <w:spacing w:line="0" w:lineRule="atLeast"/>
        <w:ind w:left="8868"/>
        <w:sectPr w:rsidR="00E05D9F" w:rsidSect="00F716F9">
          <w:pgSz w:w="11920" w:h="16845"/>
          <w:pgMar w:top="1396" w:right="1410" w:bottom="1440" w:left="1412" w:header="0" w:footer="68" w:gutter="0"/>
          <w:cols w:space="0" w:equalWidth="0">
            <w:col w:w="9088"/>
          </w:cols>
          <w:docGrid w:linePitch="360"/>
        </w:sectPr>
      </w:pPr>
    </w:p>
    <w:p w14:paraId="409BA1F4" w14:textId="77777777" w:rsidR="00E05D9F" w:rsidRDefault="00E05D9F">
      <w:pPr>
        <w:spacing w:line="13" w:lineRule="exact"/>
        <w:rPr>
          <w:rFonts w:ascii="Times New Roman" w:eastAsia="Times New Roman" w:hAnsi="Times New Roman"/>
        </w:rPr>
      </w:pPr>
      <w:bookmarkStart w:id="12" w:name="page13"/>
      <w:bookmarkEnd w:id="12"/>
    </w:p>
    <w:p w14:paraId="2DA0D220" w14:textId="77777777" w:rsidR="00E05D9F" w:rsidRDefault="00E05D9F" w:rsidP="00F0089A">
      <w:pPr>
        <w:spacing w:line="230" w:lineRule="auto"/>
        <w:ind w:left="8" w:right="20"/>
        <w:jc w:val="both"/>
        <w:rPr>
          <w:sz w:val="23"/>
        </w:rPr>
      </w:pPr>
      <w:r>
        <w:rPr>
          <w:sz w:val="23"/>
        </w:rPr>
        <w:t>prawidłowo udzielonego finansowania publicznego przypadającego na działalność niegospodarczą w danym roku.</w:t>
      </w:r>
    </w:p>
    <w:p w14:paraId="0DA9F037" w14:textId="77777777" w:rsidR="00E05D9F" w:rsidRDefault="00E05D9F">
      <w:pPr>
        <w:spacing w:line="287" w:lineRule="exact"/>
        <w:rPr>
          <w:rFonts w:ascii="Times New Roman" w:eastAsia="Times New Roman" w:hAnsi="Times New Roman"/>
        </w:rPr>
      </w:pPr>
    </w:p>
    <w:p w14:paraId="4B71389C" w14:textId="77777777" w:rsidR="00E05D9F" w:rsidRDefault="00E05D9F" w:rsidP="00FE1021">
      <w:pPr>
        <w:numPr>
          <w:ilvl w:val="0"/>
          <w:numId w:val="37"/>
        </w:numPr>
        <w:tabs>
          <w:tab w:val="left" w:pos="262"/>
        </w:tabs>
        <w:spacing w:line="233" w:lineRule="auto"/>
        <w:ind w:left="8" w:hanging="8"/>
        <w:jc w:val="both"/>
        <w:rPr>
          <w:sz w:val="21"/>
        </w:rPr>
      </w:pPr>
      <w:r>
        <w:rPr>
          <w:sz w:val="21"/>
        </w:rPr>
        <w:t>następnie należy określić wielkość dopuszczalnego finansowania publicznego przypadającego na finansowanie</w:t>
      </w:r>
      <w:r w:rsidR="00F0089A">
        <w:rPr>
          <w:sz w:val="21"/>
        </w:rPr>
        <w:t xml:space="preserve"> </w:t>
      </w:r>
      <w:r>
        <w:rPr>
          <w:sz w:val="21"/>
        </w:rPr>
        <w:t xml:space="preserve"> działalności</w:t>
      </w:r>
      <w:r w:rsidR="00F0089A">
        <w:rPr>
          <w:sz w:val="21"/>
        </w:rPr>
        <w:t xml:space="preserve"> </w:t>
      </w:r>
      <w:r>
        <w:rPr>
          <w:sz w:val="21"/>
        </w:rPr>
        <w:t xml:space="preserve"> gospodarczej</w:t>
      </w:r>
      <w:r w:rsidR="00F0089A">
        <w:rPr>
          <w:sz w:val="21"/>
        </w:rPr>
        <w:t xml:space="preserve"> </w:t>
      </w:r>
      <w:r>
        <w:rPr>
          <w:sz w:val="21"/>
        </w:rPr>
        <w:t xml:space="preserve"> (RFPDG</w:t>
      </w:r>
      <w:r>
        <w:rPr>
          <w:b/>
          <w:sz w:val="25"/>
          <w:vertAlign w:val="subscript"/>
        </w:rPr>
        <w:t>n</w:t>
      </w:r>
      <w:r>
        <w:rPr>
          <w:sz w:val="21"/>
        </w:rPr>
        <w:t xml:space="preserve">) </w:t>
      </w:r>
      <w:r w:rsidR="00F0089A">
        <w:rPr>
          <w:sz w:val="21"/>
        </w:rPr>
        <w:t xml:space="preserve"> </w:t>
      </w:r>
      <w:r>
        <w:rPr>
          <w:sz w:val="21"/>
        </w:rPr>
        <w:t>w</w:t>
      </w:r>
      <w:r w:rsidR="00F0089A">
        <w:rPr>
          <w:sz w:val="21"/>
        </w:rPr>
        <w:t xml:space="preserve"> </w:t>
      </w:r>
      <w:r>
        <w:rPr>
          <w:sz w:val="21"/>
        </w:rPr>
        <w:t xml:space="preserve"> danym </w:t>
      </w:r>
      <w:r w:rsidR="00F0089A">
        <w:rPr>
          <w:sz w:val="21"/>
        </w:rPr>
        <w:t xml:space="preserve"> </w:t>
      </w:r>
      <w:r>
        <w:rPr>
          <w:sz w:val="21"/>
        </w:rPr>
        <w:t xml:space="preserve">roku </w:t>
      </w:r>
      <w:r w:rsidR="00F0089A">
        <w:rPr>
          <w:sz w:val="21"/>
        </w:rPr>
        <w:t xml:space="preserve"> </w:t>
      </w:r>
      <w:r>
        <w:rPr>
          <w:sz w:val="21"/>
        </w:rPr>
        <w:t>(dopuszczalna intensywność wsparcia</w:t>
      </w:r>
    </w:p>
    <w:p w14:paraId="51958F37" w14:textId="77777777" w:rsidR="00E05D9F" w:rsidRDefault="00E05D9F">
      <w:pPr>
        <w:spacing w:line="14" w:lineRule="exact"/>
        <w:rPr>
          <w:sz w:val="21"/>
        </w:rPr>
      </w:pPr>
    </w:p>
    <w:p w14:paraId="71A402F3" w14:textId="77777777" w:rsidR="00E05D9F" w:rsidRPr="00C36DA5" w:rsidRDefault="00E05D9F">
      <w:pPr>
        <w:spacing w:line="0" w:lineRule="atLeast"/>
        <w:ind w:left="8"/>
        <w:rPr>
          <w:sz w:val="23"/>
          <w:lang w:val="en-US"/>
        </w:rPr>
      </w:pPr>
      <w:r w:rsidRPr="00C36DA5">
        <w:rPr>
          <w:sz w:val="23"/>
          <w:lang w:val="en-US"/>
        </w:rPr>
        <w:t>50%):</w:t>
      </w:r>
    </w:p>
    <w:p w14:paraId="3C12198A" w14:textId="77777777" w:rsidR="00E05D9F" w:rsidRPr="00C36DA5" w:rsidRDefault="00E05D9F">
      <w:pPr>
        <w:spacing w:line="187" w:lineRule="exact"/>
        <w:rPr>
          <w:rFonts w:ascii="Times New Roman" w:eastAsia="Times New Roman" w:hAnsi="Times New Roman"/>
          <w:lang w:val="en-US"/>
        </w:rPr>
      </w:pPr>
    </w:p>
    <w:p w14:paraId="1D6AA750" w14:textId="77777777" w:rsidR="00E05D9F" w:rsidRPr="00C36DA5" w:rsidRDefault="00E05D9F">
      <w:pPr>
        <w:spacing w:line="0" w:lineRule="atLeast"/>
        <w:ind w:left="8"/>
        <w:rPr>
          <w:sz w:val="23"/>
          <w:lang w:val="en-US"/>
        </w:rPr>
      </w:pPr>
      <w:r w:rsidRPr="00C36DA5">
        <w:rPr>
          <w:b/>
          <w:sz w:val="23"/>
          <w:lang w:val="en-US"/>
        </w:rPr>
        <w:t>RFPDG</w:t>
      </w:r>
      <w:r w:rsidRPr="00C36DA5">
        <w:rPr>
          <w:b/>
          <w:sz w:val="27"/>
          <w:vertAlign w:val="subscript"/>
          <w:lang w:val="en-US"/>
        </w:rPr>
        <w:t>n</w:t>
      </w:r>
      <w:r w:rsidRPr="00C36DA5">
        <w:rPr>
          <w:b/>
          <w:sz w:val="23"/>
          <w:lang w:val="en-US"/>
        </w:rPr>
        <w:t xml:space="preserve"> = DG</w:t>
      </w:r>
      <w:r w:rsidRPr="00C36DA5">
        <w:rPr>
          <w:b/>
          <w:sz w:val="27"/>
          <w:vertAlign w:val="subscript"/>
          <w:lang w:val="en-US"/>
        </w:rPr>
        <w:t>n</w:t>
      </w:r>
      <w:r w:rsidRPr="00C36DA5">
        <w:rPr>
          <w:b/>
          <w:sz w:val="23"/>
          <w:lang w:val="en-US"/>
        </w:rPr>
        <w:t xml:space="preserve"> x I</w:t>
      </w:r>
      <w:r w:rsidRPr="00C36DA5">
        <w:rPr>
          <w:b/>
          <w:sz w:val="27"/>
          <w:vertAlign w:val="subscript"/>
          <w:lang w:val="en-US"/>
        </w:rPr>
        <w:t>DG</w:t>
      </w:r>
      <w:r w:rsidRPr="00C36DA5">
        <w:rPr>
          <w:b/>
          <w:sz w:val="23"/>
          <w:lang w:val="en-US"/>
        </w:rPr>
        <w:t xml:space="preserve"> x RKK</w:t>
      </w:r>
      <w:r w:rsidRPr="00C36DA5">
        <w:rPr>
          <w:sz w:val="23"/>
          <w:lang w:val="en-US"/>
        </w:rPr>
        <w:t>,</w:t>
      </w:r>
    </w:p>
    <w:p w14:paraId="1FA17C49" w14:textId="77777777" w:rsidR="00E05D9F" w:rsidRPr="00C36DA5" w:rsidRDefault="00E05D9F">
      <w:pPr>
        <w:spacing w:line="225" w:lineRule="exact"/>
        <w:rPr>
          <w:rFonts w:ascii="Times New Roman" w:eastAsia="Times New Roman" w:hAnsi="Times New Roman"/>
          <w:lang w:val="en-US"/>
        </w:rPr>
      </w:pPr>
    </w:p>
    <w:p w14:paraId="1129B64B" w14:textId="77777777" w:rsidR="00E05D9F" w:rsidRDefault="00E05D9F">
      <w:pPr>
        <w:spacing w:line="241" w:lineRule="auto"/>
        <w:ind w:left="8" w:right="20"/>
        <w:jc w:val="both"/>
        <w:rPr>
          <w:sz w:val="23"/>
        </w:rPr>
      </w:pPr>
      <w:r>
        <w:rPr>
          <w:sz w:val="23"/>
        </w:rPr>
        <w:t>gdzie DG</w:t>
      </w:r>
      <w:r>
        <w:rPr>
          <w:sz w:val="27"/>
          <w:vertAlign w:val="subscript"/>
        </w:rPr>
        <w:t>n</w:t>
      </w:r>
      <w:r>
        <w:rPr>
          <w:sz w:val="23"/>
        </w:rPr>
        <w:t xml:space="preserve"> oznacza procentowy udział w roku „n” działalności gospodarczej w ramach rocznej wydajności infrastruktury, I</w:t>
      </w:r>
      <w:r>
        <w:rPr>
          <w:sz w:val="27"/>
          <w:vertAlign w:val="subscript"/>
        </w:rPr>
        <w:t>DG</w:t>
      </w:r>
      <w:r>
        <w:rPr>
          <w:sz w:val="23"/>
        </w:rPr>
        <w:t xml:space="preserve"> - wyrażona w procentach intensywność dofinansowania infrastruktury ze środków publicznych w zakresie działalności gospodarczej (dofinansowanie stanowiące pomoc publiczną), RKK – „roczną alokację” kosztów kwalifikowalnych infrastruktury badawczej zakupionej/wytworzonej w ramach projektu).</w:t>
      </w:r>
    </w:p>
    <w:p w14:paraId="08431073" w14:textId="77777777" w:rsidR="00E05D9F" w:rsidRDefault="00E05D9F">
      <w:pPr>
        <w:spacing w:line="232" w:lineRule="exact"/>
        <w:rPr>
          <w:rFonts w:ascii="Times New Roman" w:eastAsia="Times New Roman" w:hAnsi="Times New Roman"/>
        </w:rPr>
      </w:pPr>
    </w:p>
    <w:p w14:paraId="0FDABDE8" w14:textId="77777777" w:rsidR="00E05D9F" w:rsidRDefault="00E05D9F">
      <w:pPr>
        <w:spacing w:line="0" w:lineRule="atLeast"/>
        <w:ind w:left="8"/>
        <w:rPr>
          <w:sz w:val="23"/>
        </w:rPr>
      </w:pPr>
      <w:r>
        <w:rPr>
          <w:sz w:val="23"/>
        </w:rPr>
        <w:t>W przyjętym przykładzie:</w:t>
      </w:r>
    </w:p>
    <w:p w14:paraId="55B4349D" w14:textId="77777777" w:rsidR="00E05D9F" w:rsidRDefault="00E05D9F">
      <w:pPr>
        <w:spacing w:line="187" w:lineRule="exact"/>
        <w:rPr>
          <w:rFonts w:ascii="Times New Roman" w:eastAsia="Times New Roman" w:hAnsi="Times New Roman"/>
        </w:rPr>
      </w:pPr>
    </w:p>
    <w:p w14:paraId="7D5341E0" w14:textId="77777777" w:rsidR="00E05D9F" w:rsidRDefault="00E05D9F">
      <w:pPr>
        <w:spacing w:line="0" w:lineRule="atLeast"/>
        <w:ind w:left="8"/>
        <w:rPr>
          <w:sz w:val="23"/>
        </w:rPr>
      </w:pPr>
      <w:r>
        <w:rPr>
          <w:sz w:val="23"/>
        </w:rPr>
        <w:t>RFPDG</w:t>
      </w:r>
      <w:r>
        <w:rPr>
          <w:sz w:val="27"/>
          <w:vertAlign w:val="subscript"/>
        </w:rPr>
        <w:t>n</w:t>
      </w:r>
      <w:r>
        <w:rPr>
          <w:sz w:val="23"/>
        </w:rPr>
        <w:t xml:space="preserve"> = 60% x 50% x 1 000 000 zł = 300 000 zł</w:t>
      </w:r>
    </w:p>
    <w:p w14:paraId="7E131C37" w14:textId="77777777" w:rsidR="00E05D9F" w:rsidRDefault="00E05D9F">
      <w:pPr>
        <w:spacing w:line="248" w:lineRule="exact"/>
        <w:rPr>
          <w:rFonts w:ascii="Times New Roman" w:eastAsia="Times New Roman" w:hAnsi="Times New Roman"/>
        </w:rPr>
      </w:pPr>
    </w:p>
    <w:p w14:paraId="3E2E7546" w14:textId="77777777" w:rsidR="00E05D9F" w:rsidRDefault="00E05D9F">
      <w:pPr>
        <w:spacing w:line="0" w:lineRule="atLeast"/>
        <w:ind w:left="8"/>
        <w:rPr>
          <w:sz w:val="21"/>
        </w:rPr>
      </w:pPr>
      <w:r>
        <w:rPr>
          <w:sz w:val="21"/>
        </w:rPr>
        <w:t>dopuszczalnego finansowania publicznego przypadającego na działalność gospodarczą w danym roku.</w:t>
      </w:r>
    </w:p>
    <w:p w14:paraId="1755CBAF" w14:textId="77777777" w:rsidR="00E05D9F" w:rsidRDefault="00E05D9F">
      <w:pPr>
        <w:spacing w:line="286" w:lineRule="exact"/>
        <w:rPr>
          <w:rFonts w:ascii="Times New Roman" w:eastAsia="Times New Roman" w:hAnsi="Times New Roman"/>
        </w:rPr>
      </w:pPr>
    </w:p>
    <w:p w14:paraId="5173B677" w14:textId="77777777" w:rsidR="00E05D9F" w:rsidRDefault="00E05D9F">
      <w:pPr>
        <w:spacing w:line="239" w:lineRule="auto"/>
        <w:ind w:left="8"/>
        <w:jc w:val="both"/>
        <w:rPr>
          <w:sz w:val="23"/>
        </w:rPr>
      </w:pPr>
      <w:r>
        <w:rPr>
          <w:sz w:val="23"/>
        </w:rPr>
        <w:t>Biorąc pod uwagę, że zgodnie z proporcjami zakładanymi pierwotnie w projekcie „roczna alokacja” pomocy publicznej legalnie udzielonej na działalność gospodarczą wynosi 200 000 zł, tylko 100 000 zł podlega legalizacji pomocy, o której mowa w punkcie VII.</w:t>
      </w:r>
    </w:p>
    <w:p w14:paraId="5F2BCE6B" w14:textId="77777777" w:rsidR="00E05D9F" w:rsidRDefault="00E05D9F">
      <w:pPr>
        <w:spacing w:line="233" w:lineRule="exact"/>
        <w:rPr>
          <w:rFonts w:ascii="Times New Roman" w:eastAsia="Times New Roman" w:hAnsi="Times New Roman"/>
        </w:rPr>
      </w:pPr>
    </w:p>
    <w:p w14:paraId="2E9ABAE2" w14:textId="77777777" w:rsidR="00E05D9F" w:rsidRDefault="00E05D9F" w:rsidP="00FE1021">
      <w:pPr>
        <w:numPr>
          <w:ilvl w:val="0"/>
          <w:numId w:val="38"/>
        </w:numPr>
        <w:tabs>
          <w:tab w:val="left" w:pos="248"/>
        </w:tabs>
        <w:spacing w:line="233" w:lineRule="auto"/>
        <w:ind w:left="8" w:hanging="8"/>
        <w:jc w:val="both"/>
        <w:rPr>
          <w:sz w:val="23"/>
        </w:rPr>
      </w:pPr>
      <w:r>
        <w:rPr>
          <w:sz w:val="23"/>
        </w:rPr>
        <w:t>w ostatnim kroku należy wyliczyć kwotę przypadającą do zwrotu (Z</w:t>
      </w:r>
      <w:r>
        <w:rPr>
          <w:sz w:val="27"/>
          <w:vertAlign w:val="subscript"/>
        </w:rPr>
        <w:t>n</w:t>
      </w:r>
      <w:r>
        <w:rPr>
          <w:sz w:val="23"/>
        </w:rPr>
        <w:t xml:space="preserve">) za dany rok (przy założeniu </w:t>
      </w:r>
      <w:r>
        <w:rPr>
          <w:sz w:val="23"/>
          <w:u w:val="single"/>
        </w:rPr>
        <w:t>legalizacji pomocy publicznej</w:t>
      </w:r>
      <w:r>
        <w:rPr>
          <w:sz w:val="23"/>
        </w:rPr>
        <w:t>):</w:t>
      </w:r>
    </w:p>
    <w:p w14:paraId="01004C0B" w14:textId="77777777" w:rsidR="00E05D9F" w:rsidRDefault="00E05D9F">
      <w:pPr>
        <w:spacing w:line="189" w:lineRule="exact"/>
        <w:rPr>
          <w:rFonts w:ascii="Times New Roman" w:eastAsia="Times New Roman" w:hAnsi="Times New Roman"/>
        </w:rPr>
      </w:pPr>
    </w:p>
    <w:p w14:paraId="0371F09B" w14:textId="77777777" w:rsidR="00E05D9F" w:rsidRDefault="00E05D9F">
      <w:pPr>
        <w:spacing w:line="0" w:lineRule="atLeast"/>
        <w:ind w:left="8"/>
        <w:rPr>
          <w:sz w:val="23"/>
        </w:rPr>
      </w:pPr>
      <w:r>
        <w:rPr>
          <w:b/>
          <w:sz w:val="23"/>
        </w:rPr>
        <w:t>Z</w:t>
      </w:r>
      <w:r>
        <w:rPr>
          <w:b/>
          <w:sz w:val="27"/>
          <w:vertAlign w:val="subscript"/>
        </w:rPr>
        <w:t>n</w:t>
      </w:r>
      <w:r>
        <w:rPr>
          <w:b/>
          <w:sz w:val="23"/>
        </w:rPr>
        <w:t xml:space="preserve"> = RFP – (RFPDNG</w:t>
      </w:r>
      <w:r>
        <w:rPr>
          <w:b/>
          <w:sz w:val="27"/>
          <w:vertAlign w:val="subscript"/>
        </w:rPr>
        <w:t>n</w:t>
      </w:r>
      <w:r>
        <w:rPr>
          <w:b/>
          <w:sz w:val="23"/>
        </w:rPr>
        <w:t xml:space="preserve"> + RFPDG</w:t>
      </w:r>
      <w:r>
        <w:rPr>
          <w:b/>
          <w:sz w:val="27"/>
          <w:vertAlign w:val="subscript"/>
        </w:rPr>
        <w:t>n</w:t>
      </w:r>
      <w:r>
        <w:rPr>
          <w:b/>
          <w:sz w:val="23"/>
        </w:rPr>
        <w:t>)</w:t>
      </w:r>
      <w:r>
        <w:rPr>
          <w:sz w:val="23"/>
        </w:rPr>
        <w:t>.</w:t>
      </w:r>
    </w:p>
    <w:p w14:paraId="45281D09" w14:textId="77777777" w:rsidR="00E05D9F" w:rsidRDefault="00E05D9F">
      <w:pPr>
        <w:spacing w:line="224" w:lineRule="exact"/>
        <w:rPr>
          <w:rFonts w:ascii="Times New Roman" w:eastAsia="Times New Roman" w:hAnsi="Times New Roman"/>
        </w:rPr>
      </w:pPr>
    </w:p>
    <w:p w14:paraId="2EEEC67C" w14:textId="77777777" w:rsidR="00E05D9F" w:rsidRDefault="00E05D9F">
      <w:pPr>
        <w:spacing w:line="0" w:lineRule="atLeast"/>
        <w:ind w:left="8"/>
        <w:rPr>
          <w:sz w:val="23"/>
        </w:rPr>
      </w:pPr>
      <w:r>
        <w:rPr>
          <w:sz w:val="23"/>
        </w:rPr>
        <w:t>W przyjętym przykładzie:</w:t>
      </w:r>
    </w:p>
    <w:p w14:paraId="19413FF7" w14:textId="77777777" w:rsidR="00E05D9F" w:rsidRDefault="00E05D9F">
      <w:pPr>
        <w:spacing w:line="187" w:lineRule="exact"/>
        <w:rPr>
          <w:rFonts w:ascii="Times New Roman" w:eastAsia="Times New Roman" w:hAnsi="Times New Roman"/>
        </w:rPr>
      </w:pPr>
    </w:p>
    <w:p w14:paraId="773FB40E" w14:textId="77777777" w:rsidR="00E05D9F" w:rsidRDefault="00E05D9F">
      <w:pPr>
        <w:spacing w:line="0" w:lineRule="atLeast"/>
        <w:ind w:left="8"/>
        <w:rPr>
          <w:sz w:val="23"/>
        </w:rPr>
      </w:pPr>
      <w:r>
        <w:rPr>
          <w:sz w:val="23"/>
        </w:rPr>
        <w:t>Z</w:t>
      </w:r>
      <w:r>
        <w:rPr>
          <w:sz w:val="27"/>
          <w:vertAlign w:val="subscript"/>
        </w:rPr>
        <w:t>n</w:t>
      </w:r>
      <w:r>
        <w:rPr>
          <w:sz w:val="23"/>
        </w:rPr>
        <w:t xml:space="preserve"> = 800 000 zł – (400 000 zł + 300 000 zł) = 100 000 zł</w:t>
      </w:r>
    </w:p>
    <w:p w14:paraId="61EB684E" w14:textId="77777777" w:rsidR="00E05D9F" w:rsidRDefault="00E05D9F">
      <w:pPr>
        <w:spacing w:line="208" w:lineRule="exact"/>
        <w:rPr>
          <w:rFonts w:ascii="Times New Roman" w:eastAsia="Times New Roman" w:hAnsi="Times New Roman"/>
        </w:rPr>
      </w:pPr>
    </w:p>
    <w:p w14:paraId="1F0D75D8" w14:textId="77777777" w:rsidR="00E05D9F" w:rsidRDefault="00E05D9F">
      <w:pPr>
        <w:spacing w:line="0" w:lineRule="atLeast"/>
        <w:ind w:left="8"/>
        <w:rPr>
          <w:sz w:val="23"/>
        </w:rPr>
      </w:pPr>
      <w:r>
        <w:rPr>
          <w:sz w:val="23"/>
        </w:rPr>
        <w:t>stanowi kwotę przypadającą do zwrotu.</w:t>
      </w:r>
    </w:p>
    <w:p w14:paraId="626E9C75" w14:textId="77777777" w:rsidR="00E05D9F" w:rsidRDefault="00E05D9F">
      <w:pPr>
        <w:spacing w:line="230" w:lineRule="exact"/>
        <w:rPr>
          <w:rFonts w:ascii="Times New Roman" w:eastAsia="Times New Roman" w:hAnsi="Times New Roman"/>
        </w:rPr>
      </w:pPr>
    </w:p>
    <w:p w14:paraId="48752F29" w14:textId="77777777" w:rsidR="00E05D9F" w:rsidRDefault="00E05D9F">
      <w:pPr>
        <w:spacing w:line="0" w:lineRule="atLeast"/>
        <w:ind w:left="8"/>
        <w:rPr>
          <w:sz w:val="23"/>
        </w:rPr>
      </w:pPr>
      <w:r>
        <w:rPr>
          <w:sz w:val="23"/>
          <w:u w:val="single"/>
        </w:rPr>
        <w:t>Upraszczając</w:t>
      </w:r>
      <w:r>
        <w:rPr>
          <w:sz w:val="23"/>
        </w:rPr>
        <w:t xml:space="preserve">, tę samą wartość otrzymamy, stosując </w:t>
      </w:r>
      <w:r>
        <w:rPr>
          <w:sz w:val="23"/>
          <w:u w:val="single"/>
        </w:rPr>
        <w:t>wzór</w:t>
      </w:r>
      <w:r>
        <w:rPr>
          <w:sz w:val="23"/>
        </w:rPr>
        <w:t xml:space="preserve"> wprowadzony w pkt IV:</w:t>
      </w:r>
    </w:p>
    <w:p w14:paraId="529F1EFF" w14:textId="77777777" w:rsidR="00E05D9F" w:rsidRDefault="00E05D9F">
      <w:pPr>
        <w:spacing w:line="187" w:lineRule="exact"/>
        <w:rPr>
          <w:rFonts w:ascii="Times New Roman" w:eastAsia="Times New Roman" w:hAnsi="Times New Roman"/>
        </w:rPr>
      </w:pPr>
    </w:p>
    <w:p w14:paraId="3D74F414" w14:textId="77777777" w:rsidR="00E05D9F" w:rsidRDefault="00E05D9F">
      <w:pPr>
        <w:spacing w:line="0" w:lineRule="atLeast"/>
        <w:ind w:left="8"/>
        <w:rPr>
          <w:b/>
          <w:sz w:val="23"/>
        </w:rPr>
      </w:pPr>
      <w:r>
        <w:rPr>
          <w:b/>
          <w:sz w:val="23"/>
        </w:rPr>
        <w:t>Z</w:t>
      </w:r>
      <w:r>
        <w:rPr>
          <w:b/>
          <w:sz w:val="27"/>
          <w:vertAlign w:val="subscript"/>
        </w:rPr>
        <w:t>n</w:t>
      </w:r>
      <w:r>
        <w:rPr>
          <w:b/>
          <w:sz w:val="23"/>
        </w:rPr>
        <w:t xml:space="preserve"> = RFP - (DNG</w:t>
      </w:r>
      <w:r>
        <w:rPr>
          <w:b/>
          <w:sz w:val="27"/>
          <w:vertAlign w:val="subscript"/>
        </w:rPr>
        <w:t>n</w:t>
      </w:r>
      <w:r>
        <w:rPr>
          <w:b/>
          <w:sz w:val="23"/>
        </w:rPr>
        <w:t xml:space="preserve"> x I</w:t>
      </w:r>
      <w:r>
        <w:rPr>
          <w:b/>
          <w:sz w:val="27"/>
          <w:vertAlign w:val="subscript"/>
        </w:rPr>
        <w:t>DNG</w:t>
      </w:r>
      <w:r>
        <w:rPr>
          <w:b/>
          <w:sz w:val="23"/>
        </w:rPr>
        <w:t xml:space="preserve"> x RKK + DG</w:t>
      </w:r>
      <w:r>
        <w:rPr>
          <w:b/>
          <w:sz w:val="27"/>
          <w:vertAlign w:val="subscript"/>
        </w:rPr>
        <w:t>n</w:t>
      </w:r>
      <w:r>
        <w:rPr>
          <w:b/>
          <w:sz w:val="23"/>
        </w:rPr>
        <w:t xml:space="preserve"> x I</w:t>
      </w:r>
      <w:r>
        <w:rPr>
          <w:b/>
          <w:sz w:val="27"/>
          <w:vertAlign w:val="subscript"/>
        </w:rPr>
        <w:t>DG</w:t>
      </w:r>
      <w:r>
        <w:rPr>
          <w:b/>
          <w:sz w:val="23"/>
        </w:rPr>
        <w:t xml:space="preserve"> x RKK)</w:t>
      </w:r>
    </w:p>
    <w:p w14:paraId="4AC47C21" w14:textId="77777777" w:rsidR="00E05D9F" w:rsidRDefault="00E05D9F">
      <w:pPr>
        <w:spacing w:line="181" w:lineRule="exact"/>
        <w:rPr>
          <w:rFonts w:ascii="Times New Roman" w:eastAsia="Times New Roman" w:hAnsi="Times New Roman"/>
        </w:rPr>
      </w:pPr>
    </w:p>
    <w:p w14:paraId="6EDAE829" w14:textId="77777777" w:rsidR="00E05D9F" w:rsidRDefault="00E05D9F">
      <w:pPr>
        <w:spacing w:line="0" w:lineRule="atLeast"/>
        <w:ind w:left="8"/>
        <w:rPr>
          <w:sz w:val="23"/>
        </w:rPr>
      </w:pPr>
      <w:r>
        <w:rPr>
          <w:sz w:val="23"/>
        </w:rPr>
        <w:t>Z</w:t>
      </w:r>
      <w:r>
        <w:rPr>
          <w:sz w:val="27"/>
          <w:vertAlign w:val="subscript"/>
        </w:rPr>
        <w:t>n</w:t>
      </w:r>
      <w:r>
        <w:rPr>
          <w:sz w:val="23"/>
        </w:rPr>
        <w:t xml:space="preserve"> = 800 000 zł – (40% x 100% x 1 000 000 zł + 60% x 50% x 1 000 000 zł) = 100 000 zł.</w:t>
      </w:r>
    </w:p>
    <w:p w14:paraId="5F09557E" w14:textId="77777777" w:rsidR="00E05D9F" w:rsidRDefault="00E05D9F">
      <w:pPr>
        <w:spacing w:line="280" w:lineRule="exact"/>
        <w:rPr>
          <w:rFonts w:ascii="Times New Roman" w:eastAsia="Times New Roman" w:hAnsi="Times New Roman"/>
        </w:rPr>
      </w:pPr>
    </w:p>
    <w:p w14:paraId="0421B27F" w14:textId="77777777" w:rsidR="00E05D9F" w:rsidRDefault="00E05D9F">
      <w:pPr>
        <w:spacing w:line="243" w:lineRule="auto"/>
        <w:ind w:left="8"/>
        <w:jc w:val="both"/>
        <w:rPr>
          <w:sz w:val="22"/>
        </w:rPr>
      </w:pPr>
      <w:r>
        <w:rPr>
          <w:sz w:val="22"/>
        </w:rPr>
        <w:t xml:space="preserve">Jeżeli </w:t>
      </w:r>
      <w:r>
        <w:rPr>
          <w:sz w:val="22"/>
          <w:u w:val="single"/>
        </w:rPr>
        <w:t>legalizacja nie jest możliwa</w:t>
      </w:r>
      <w:r>
        <w:rPr>
          <w:sz w:val="22"/>
        </w:rPr>
        <w:t>, zwrotowi podlega część finansowania publicznego odpowiadająca skali ograniczenia udziału działalności niegospodarczej w danym roku (Z</w:t>
      </w:r>
      <w:r>
        <w:rPr>
          <w:sz w:val="26"/>
          <w:vertAlign w:val="subscript"/>
        </w:rPr>
        <w:t>n</w:t>
      </w:r>
      <w:r>
        <w:rPr>
          <w:sz w:val="22"/>
        </w:rPr>
        <w:t>). Wartość tę można wyliczyć jako różnicę między roczną alokacją finansowania publicznego działalności niegospodarczej (RFPDNG) a wartością finansowania publicznego działalności niegospodarczej w roku „n” (RFPDNG</w:t>
      </w:r>
      <w:r>
        <w:rPr>
          <w:sz w:val="26"/>
          <w:vertAlign w:val="subscript"/>
        </w:rPr>
        <w:t>n</w:t>
      </w:r>
      <w:r>
        <w:rPr>
          <w:sz w:val="22"/>
        </w:rPr>
        <w:t>), zredukowanego w wyniku zmniejszenia udziału działalności niegospodarczej).</w:t>
      </w:r>
    </w:p>
    <w:p w14:paraId="1BC95EF2" w14:textId="77777777" w:rsidR="00E05D9F" w:rsidRDefault="00E05D9F">
      <w:pPr>
        <w:spacing w:line="200" w:lineRule="exact"/>
        <w:rPr>
          <w:rFonts w:ascii="Times New Roman" w:eastAsia="Times New Roman" w:hAnsi="Times New Roman"/>
        </w:rPr>
      </w:pPr>
    </w:p>
    <w:p w14:paraId="174C3538" w14:textId="77777777" w:rsidR="00E05D9F" w:rsidRDefault="00E05D9F">
      <w:pPr>
        <w:spacing w:line="281" w:lineRule="exact"/>
        <w:rPr>
          <w:rFonts w:ascii="Times New Roman" w:eastAsia="Times New Roman" w:hAnsi="Times New Roman"/>
        </w:rPr>
      </w:pPr>
    </w:p>
    <w:p w14:paraId="61A26DDF" w14:textId="77777777" w:rsidR="00E05D9F" w:rsidRDefault="00E05D9F">
      <w:pPr>
        <w:spacing w:line="0" w:lineRule="atLeast"/>
        <w:ind w:left="8868"/>
      </w:pPr>
      <w:r>
        <w:t>13</w:t>
      </w:r>
    </w:p>
    <w:p w14:paraId="2F5DFD9F" w14:textId="77777777" w:rsidR="00E05D9F" w:rsidRDefault="00E05D9F">
      <w:pPr>
        <w:spacing w:line="0" w:lineRule="atLeast"/>
        <w:ind w:left="8868"/>
        <w:sectPr w:rsidR="00E05D9F" w:rsidSect="00F716F9">
          <w:pgSz w:w="11920" w:h="16845"/>
          <w:pgMar w:top="1440" w:right="1410" w:bottom="1440" w:left="1412" w:header="0" w:footer="68" w:gutter="0"/>
          <w:cols w:space="0" w:equalWidth="0">
            <w:col w:w="9088"/>
          </w:cols>
          <w:docGrid w:linePitch="360"/>
        </w:sectPr>
      </w:pPr>
    </w:p>
    <w:p w14:paraId="43D78F08" w14:textId="77777777" w:rsidR="00E05D9F" w:rsidRDefault="00E05D9F">
      <w:pPr>
        <w:spacing w:line="0" w:lineRule="atLeast"/>
        <w:ind w:left="8"/>
        <w:rPr>
          <w:b/>
          <w:sz w:val="27"/>
          <w:vertAlign w:val="subscript"/>
        </w:rPr>
      </w:pPr>
      <w:bookmarkStart w:id="13" w:name="page14"/>
      <w:bookmarkEnd w:id="13"/>
      <w:r>
        <w:rPr>
          <w:b/>
          <w:sz w:val="23"/>
        </w:rPr>
        <w:lastRenderedPageBreak/>
        <w:t>Z</w:t>
      </w:r>
      <w:r>
        <w:rPr>
          <w:b/>
          <w:sz w:val="27"/>
          <w:vertAlign w:val="subscript"/>
        </w:rPr>
        <w:t>n</w:t>
      </w:r>
      <w:r>
        <w:rPr>
          <w:b/>
          <w:sz w:val="23"/>
        </w:rPr>
        <w:t xml:space="preserve"> = RFPDNG - RFPDNG</w:t>
      </w:r>
      <w:r>
        <w:rPr>
          <w:b/>
          <w:sz w:val="27"/>
          <w:vertAlign w:val="subscript"/>
        </w:rPr>
        <w:t>n</w:t>
      </w:r>
    </w:p>
    <w:p w14:paraId="3F9710AE" w14:textId="77777777" w:rsidR="00E05D9F" w:rsidRDefault="00E05D9F">
      <w:pPr>
        <w:spacing w:line="224" w:lineRule="exact"/>
        <w:rPr>
          <w:rFonts w:ascii="Times New Roman" w:eastAsia="Times New Roman" w:hAnsi="Times New Roman"/>
        </w:rPr>
      </w:pPr>
    </w:p>
    <w:p w14:paraId="2167B6D5" w14:textId="77777777" w:rsidR="00E05D9F" w:rsidRDefault="00E05D9F">
      <w:pPr>
        <w:spacing w:line="0" w:lineRule="atLeast"/>
        <w:ind w:left="8"/>
        <w:rPr>
          <w:sz w:val="23"/>
        </w:rPr>
      </w:pPr>
      <w:r>
        <w:rPr>
          <w:sz w:val="23"/>
        </w:rPr>
        <w:t>Wartość dofinansowania podlegająca zwrotowi:</w:t>
      </w:r>
    </w:p>
    <w:p w14:paraId="22DDD821" w14:textId="77777777" w:rsidR="00E05D9F" w:rsidRDefault="00E05D9F">
      <w:pPr>
        <w:spacing w:line="233" w:lineRule="auto"/>
        <w:ind w:left="8"/>
        <w:rPr>
          <w:sz w:val="23"/>
        </w:rPr>
      </w:pPr>
      <w:r>
        <w:rPr>
          <w:sz w:val="23"/>
        </w:rPr>
        <w:t>Z</w:t>
      </w:r>
      <w:r>
        <w:rPr>
          <w:sz w:val="27"/>
          <w:vertAlign w:val="subscript"/>
        </w:rPr>
        <w:t>n</w:t>
      </w:r>
      <w:r>
        <w:rPr>
          <w:sz w:val="23"/>
        </w:rPr>
        <w:t xml:space="preserve"> = 600 000 zł – 400 000 zł = 200 000 zł.</w:t>
      </w:r>
    </w:p>
    <w:p w14:paraId="33B94028" w14:textId="77777777" w:rsidR="00E05D9F" w:rsidRDefault="00E05D9F">
      <w:pPr>
        <w:spacing w:line="281" w:lineRule="exact"/>
        <w:rPr>
          <w:rFonts w:ascii="Times New Roman" w:eastAsia="Times New Roman" w:hAnsi="Times New Roman"/>
        </w:rPr>
      </w:pPr>
    </w:p>
    <w:p w14:paraId="64DF1406" w14:textId="77777777" w:rsidR="00E05D9F" w:rsidRDefault="00E05D9F">
      <w:pPr>
        <w:spacing w:line="239" w:lineRule="auto"/>
        <w:ind w:left="8"/>
        <w:jc w:val="both"/>
        <w:rPr>
          <w:b/>
          <w:sz w:val="23"/>
        </w:rPr>
      </w:pPr>
      <w:r>
        <w:rPr>
          <w:b/>
          <w:sz w:val="23"/>
        </w:rPr>
        <w:t>Analogiczna kalkulacja powinna być przeprowadzona oddzielnie dla każdego roku monitorowania infrastruktury, w którym nastąpiło przekroczenie zakładanych proporcji działalności gospodarczej i niegospodarczej.</w:t>
      </w:r>
    </w:p>
    <w:p w14:paraId="5D100DAF" w14:textId="77777777" w:rsidR="00E05D9F" w:rsidRDefault="00E05D9F">
      <w:pPr>
        <w:spacing w:line="287" w:lineRule="exact"/>
        <w:rPr>
          <w:rFonts w:ascii="Times New Roman" w:eastAsia="Times New Roman" w:hAnsi="Times New Roman"/>
        </w:rPr>
      </w:pPr>
    </w:p>
    <w:p w14:paraId="4BE9D4CE" w14:textId="77777777" w:rsidR="00E05D9F" w:rsidRDefault="00E05D9F">
      <w:pPr>
        <w:spacing w:line="285" w:lineRule="auto"/>
        <w:ind w:left="8"/>
        <w:jc w:val="both"/>
        <w:rPr>
          <w:sz w:val="21"/>
        </w:rPr>
      </w:pPr>
      <w:r>
        <w:rPr>
          <w:sz w:val="21"/>
        </w:rPr>
        <w:t>Należy wskazać, że w powyższym przykładzie, dla uproszczenia kalkulacji, przyjęto założenie, że dofinansowanie zostało udzielone w maksymalnej wysokości (100% kosztów kwalifikowalnych dla działalności niegospodarczej i 50% kosztów kwalifikowalnych dla działalności gospodarczej), jednak przed wyliczeniem kwoty podlegającej wycofaniu należy uwzględnić fakt, że w danym projekcie dofinansowanie mogło zostać udzielone w wysokości mniejszej niż maksymalna oraz ewentualne korekty kosztów lub pomniejszenia dofinansowania – kalkulację kwoty podlegającej zwrotowi należy wówczas przeprowadzić analogicznie do przykładu wskazanego w końcowej części punktu IV.</w:t>
      </w:r>
    </w:p>
    <w:p w14:paraId="6495C1B1" w14:textId="77777777" w:rsidR="00E05D9F" w:rsidRDefault="00E05D9F">
      <w:pPr>
        <w:spacing w:line="200" w:lineRule="exact"/>
        <w:rPr>
          <w:rFonts w:ascii="Times New Roman" w:eastAsia="Times New Roman" w:hAnsi="Times New Roman"/>
        </w:rPr>
      </w:pPr>
    </w:p>
    <w:p w14:paraId="6034A1DA" w14:textId="77777777" w:rsidR="00E05D9F" w:rsidRDefault="00E05D9F">
      <w:pPr>
        <w:spacing w:line="200" w:lineRule="exact"/>
        <w:rPr>
          <w:rFonts w:ascii="Times New Roman" w:eastAsia="Times New Roman" w:hAnsi="Times New Roman"/>
        </w:rPr>
      </w:pPr>
    </w:p>
    <w:p w14:paraId="5E322061" w14:textId="77777777" w:rsidR="00E05D9F" w:rsidRDefault="00E05D9F">
      <w:pPr>
        <w:spacing w:line="382" w:lineRule="exact"/>
        <w:rPr>
          <w:rFonts w:ascii="Times New Roman" w:eastAsia="Times New Roman" w:hAnsi="Times New Roman"/>
        </w:rPr>
      </w:pPr>
    </w:p>
    <w:p w14:paraId="44111091" w14:textId="77777777" w:rsidR="00E05D9F" w:rsidRDefault="00E05D9F">
      <w:pPr>
        <w:spacing w:line="230" w:lineRule="auto"/>
        <w:ind w:left="8" w:right="20"/>
        <w:rPr>
          <w:b/>
          <w:sz w:val="23"/>
        </w:rPr>
      </w:pPr>
      <w:r>
        <w:rPr>
          <w:b/>
          <w:sz w:val="23"/>
        </w:rPr>
        <w:t>VI. Zasady stosowania mechanizmu monitorowania i wycofania w przypadku częściowej kwalifikowalności VAT</w:t>
      </w:r>
    </w:p>
    <w:p w14:paraId="5DB550A8" w14:textId="77777777" w:rsidR="00E05D9F" w:rsidRDefault="00E05D9F">
      <w:pPr>
        <w:spacing w:line="317" w:lineRule="exact"/>
        <w:rPr>
          <w:rFonts w:ascii="Times New Roman" w:eastAsia="Times New Roman" w:hAnsi="Times New Roman"/>
        </w:rPr>
      </w:pPr>
    </w:p>
    <w:p w14:paraId="0FE42FE6" w14:textId="77777777" w:rsidR="00E05D9F" w:rsidRDefault="00E05D9F" w:rsidP="00FE1021">
      <w:pPr>
        <w:numPr>
          <w:ilvl w:val="0"/>
          <w:numId w:val="39"/>
        </w:numPr>
        <w:tabs>
          <w:tab w:val="left" w:pos="713"/>
        </w:tabs>
        <w:spacing w:line="230" w:lineRule="auto"/>
        <w:ind w:left="8" w:hanging="8"/>
        <w:rPr>
          <w:b/>
          <w:sz w:val="23"/>
        </w:rPr>
      </w:pPr>
      <w:r>
        <w:rPr>
          <w:b/>
          <w:sz w:val="23"/>
        </w:rPr>
        <w:t>brak kwalifikowalności VAT w części gospodarczej oraz jego kwalifikowalność w części niegospodarczej</w:t>
      </w:r>
    </w:p>
    <w:p w14:paraId="400E4F7D" w14:textId="77777777" w:rsidR="00E05D9F" w:rsidRDefault="00E05D9F">
      <w:pPr>
        <w:spacing w:line="288" w:lineRule="exact"/>
        <w:rPr>
          <w:rFonts w:ascii="Times New Roman" w:eastAsia="Times New Roman" w:hAnsi="Times New Roman"/>
        </w:rPr>
      </w:pPr>
    </w:p>
    <w:p w14:paraId="000C4C73" w14:textId="77777777" w:rsidR="00E05D9F" w:rsidRDefault="00E05D9F">
      <w:pPr>
        <w:spacing w:line="255" w:lineRule="auto"/>
        <w:ind w:left="8"/>
        <w:jc w:val="both"/>
        <w:rPr>
          <w:sz w:val="23"/>
        </w:rPr>
      </w:pPr>
      <w:r>
        <w:rPr>
          <w:sz w:val="23"/>
        </w:rPr>
        <w:t>Prowadzenie działalności gospodarczej z wykorzystaniem infrastruktury zakupionej/powstałej w ramach projektu co do zasady wiąże się z prowadzeniem sprzedaży opodatkowanej VAT i</w:t>
      </w:r>
      <w:r w:rsidR="00474E92">
        <w:rPr>
          <w:sz w:val="23"/>
        </w:rPr>
        <w:t> </w:t>
      </w:r>
      <w:r>
        <w:rPr>
          <w:sz w:val="23"/>
        </w:rPr>
        <w:t>możliwością jego odzyskania. Ocena tego, czy beneficjentowi przysługuje prawo do odliczenia podatku naliczonego, wymaga szczegółowej analizy stanu faktycznego i powinna opierać się głównie na deklarowanym przez beneficjenta wykorzystaniu towarów i usług do czynności opodatkowanych albo nieopodatkowanych VAT, zakupionych w związku z realizacją projektu współfinansowanego ze środków UE oraz dokumentacji projektu.</w:t>
      </w:r>
    </w:p>
    <w:p w14:paraId="72DD89AD" w14:textId="77777777" w:rsidR="00E05D9F" w:rsidRDefault="00E05D9F">
      <w:pPr>
        <w:spacing w:line="269" w:lineRule="exact"/>
        <w:rPr>
          <w:rFonts w:ascii="Times New Roman" w:eastAsia="Times New Roman" w:hAnsi="Times New Roman"/>
        </w:rPr>
      </w:pPr>
    </w:p>
    <w:p w14:paraId="37F7B101" w14:textId="77777777" w:rsidR="00E05D9F" w:rsidRDefault="00E05D9F">
      <w:pPr>
        <w:spacing w:line="239" w:lineRule="auto"/>
        <w:ind w:left="8" w:right="20"/>
        <w:jc w:val="both"/>
        <w:rPr>
          <w:sz w:val="23"/>
        </w:rPr>
      </w:pPr>
      <w:r>
        <w:rPr>
          <w:sz w:val="23"/>
        </w:rPr>
        <w:t>W związku z tym, w przypadku gdy VAT był pierwotnie uznany w części lub całości za wydatek kwalifikowalny i zajdą przesłanki umożliwiające beneficjentowi odzyskanie tego podatku, konieczne jest odpowiednie zmniejszenie dofinansowania odpowiadającego temu VAT.</w:t>
      </w:r>
    </w:p>
    <w:p w14:paraId="344E3DEB" w14:textId="77777777" w:rsidR="00E05D9F" w:rsidRDefault="00E05D9F">
      <w:pPr>
        <w:spacing w:line="287" w:lineRule="exact"/>
        <w:rPr>
          <w:rFonts w:ascii="Times New Roman" w:eastAsia="Times New Roman" w:hAnsi="Times New Roman"/>
        </w:rPr>
      </w:pPr>
    </w:p>
    <w:p w14:paraId="38AA2FF2" w14:textId="77777777" w:rsidR="00E05D9F" w:rsidRDefault="00E05D9F">
      <w:pPr>
        <w:spacing w:line="254" w:lineRule="auto"/>
        <w:ind w:left="8"/>
        <w:jc w:val="both"/>
        <w:rPr>
          <w:sz w:val="23"/>
        </w:rPr>
      </w:pPr>
      <w:r>
        <w:rPr>
          <w:sz w:val="23"/>
        </w:rPr>
        <w:t>Należy zwrócić uwagę, że zmiana kwalifikowalności VAT (jeśli pierwotnie był on w projekcie w</w:t>
      </w:r>
      <w:r w:rsidR="00474E92">
        <w:rPr>
          <w:sz w:val="23"/>
        </w:rPr>
        <w:t> </w:t>
      </w:r>
      <w:r>
        <w:rPr>
          <w:sz w:val="23"/>
        </w:rPr>
        <w:t>pełni lub w części kwalifikowalny) i związana z tym konieczność zmiany wielkości dofinansowania zajdzie niezależnie od wymiaru działalności gospodarczej prowadzonej na dofinansowanej infrastrukturze – również w przypadku, gdy działalność ta nie przekroczy poziomu 20% rocznej wydajności i nie będzie konieczne wycofywanie części dofinansowania zgodnie z p. IV powyżej.</w:t>
      </w:r>
    </w:p>
    <w:p w14:paraId="73FE2D01" w14:textId="77777777" w:rsidR="00E05D9F" w:rsidRDefault="00E05D9F">
      <w:pPr>
        <w:spacing w:line="271" w:lineRule="exact"/>
        <w:rPr>
          <w:rFonts w:ascii="Times New Roman" w:eastAsia="Times New Roman" w:hAnsi="Times New Roman"/>
        </w:rPr>
      </w:pPr>
    </w:p>
    <w:p w14:paraId="79117440" w14:textId="77777777" w:rsidR="00E05D9F" w:rsidRDefault="00E05D9F">
      <w:pPr>
        <w:spacing w:line="239" w:lineRule="auto"/>
        <w:ind w:left="8"/>
        <w:jc w:val="both"/>
        <w:rPr>
          <w:sz w:val="23"/>
        </w:rPr>
      </w:pPr>
      <w:r>
        <w:rPr>
          <w:sz w:val="23"/>
        </w:rPr>
        <w:t>Prognozowany przez podatnika VAT związek podatku do odliczenia z poszczególnymi rodzajami czynności ostatecznie może się zmienić. Dlatego też, w przypadku zmiany pierwotnego przeznaczenia nabytych towarów lub usług, prawo do odliczenia VAT może również ulec zmianie.</w:t>
      </w:r>
    </w:p>
    <w:p w14:paraId="2DA5A2E1" w14:textId="77777777" w:rsidR="00E05D9F" w:rsidRDefault="00E05D9F">
      <w:pPr>
        <w:spacing w:line="50" w:lineRule="exact"/>
        <w:rPr>
          <w:rFonts w:ascii="Times New Roman" w:eastAsia="Times New Roman" w:hAnsi="Times New Roman"/>
        </w:rPr>
      </w:pPr>
    </w:p>
    <w:p w14:paraId="46664D4E" w14:textId="77777777" w:rsidR="00E05D9F" w:rsidRDefault="00E05D9F">
      <w:pPr>
        <w:spacing w:line="0" w:lineRule="atLeast"/>
        <w:ind w:left="8868"/>
      </w:pPr>
      <w:r>
        <w:t>14</w:t>
      </w:r>
    </w:p>
    <w:p w14:paraId="5DB092AF" w14:textId="77777777" w:rsidR="00E05D9F" w:rsidRDefault="00E05D9F">
      <w:pPr>
        <w:spacing w:line="0" w:lineRule="atLeast"/>
        <w:ind w:left="8868"/>
        <w:sectPr w:rsidR="00E05D9F" w:rsidSect="00F716F9">
          <w:pgSz w:w="11920" w:h="16845"/>
          <w:pgMar w:top="1354" w:right="1410" w:bottom="1440" w:left="1412" w:header="0" w:footer="68" w:gutter="0"/>
          <w:cols w:space="0" w:equalWidth="0">
            <w:col w:w="9088"/>
          </w:cols>
          <w:docGrid w:linePitch="360"/>
        </w:sectPr>
      </w:pPr>
    </w:p>
    <w:p w14:paraId="59F82C3F" w14:textId="77777777" w:rsidR="00E05D9F" w:rsidRDefault="00E05D9F">
      <w:pPr>
        <w:spacing w:line="13" w:lineRule="exact"/>
        <w:rPr>
          <w:rFonts w:ascii="Times New Roman" w:eastAsia="Times New Roman" w:hAnsi="Times New Roman"/>
        </w:rPr>
      </w:pPr>
      <w:bookmarkStart w:id="14" w:name="page15"/>
      <w:bookmarkEnd w:id="14"/>
    </w:p>
    <w:p w14:paraId="20C66393" w14:textId="77777777" w:rsidR="00E05D9F" w:rsidRDefault="00E05D9F">
      <w:pPr>
        <w:spacing w:line="286" w:lineRule="auto"/>
        <w:ind w:left="8"/>
        <w:jc w:val="both"/>
        <w:rPr>
          <w:sz w:val="21"/>
        </w:rPr>
      </w:pPr>
      <w:r>
        <w:rPr>
          <w:sz w:val="21"/>
        </w:rPr>
        <w:t>W sytuacji, gdy możliwość odzyskania VAT pojawi się w związku z rozpoczęciem prowadzenia działalności gospodarczej lub jej prowadzeniem w większym zakresie niż zakładano na etapie podpisywania umowy o</w:t>
      </w:r>
      <w:r w:rsidR="00474E92">
        <w:rPr>
          <w:sz w:val="21"/>
        </w:rPr>
        <w:t> </w:t>
      </w:r>
      <w:r>
        <w:rPr>
          <w:sz w:val="21"/>
        </w:rPr>
        <w:t>dofinansowanie, w tym w odniesieniu do działalności objętej mechanizmem monitorowania i wycofania, beneficjent jest zobowiązany do zwrotu odpowiedniej kwoty dofinansowania odpowiadającego VAT – w</w:t>
      </w:r>
      <w:r w:rsidR="00474E92">
        <w:rPr>
          <w:sz w:val="21"/>
        </w:rPr>
        <w:t> </w:t>
      </w:r>
      <w:r>
        <w:rPr>
          <w:sz w:val="21"/>
        </w:rPr>
        <w:t>terminie określonym w umowie o dofinansowanie, przy czym termin ten nie powinien być dłuższy niż 30 dni od zmiany statusu w kontekście kwalifikowalności VAT (należy zwrócić uwagę, że w wielu przypadkach ta zmiana – i związana z nią konieczność zwrotu części dofinansowania – nastąpi znacznie wcześniej niż</w:t>
      </w:r>
      <w:r w:rsidR="00474E92">
        <w:rPr>
          <w:sz w:val="21"/>
        </w:rPr>
        <w:t> </w:t>
      </w:r>
      <w:r>
        <w:rPr>
          <w:sz w:val="21"/>
        </w:rPr>
        <w:t>ewentualne zwroty wynikające z kalkulacji w ramach mechanizmu monitorowania i wycofania). W</w:t>
      </w:r>
      <w:r w:rsidR="00474E92">
        <w:rPr>
          <w:sz w:val="21"/>
        </w:rPr>
        <w:t> </w:t>
      </w:r>
      <w:r>
        <w:rPr>
          <w:sz w:val="21"/>
        </w:rPr>
        <w:t>przypadku niedokonania zwrotu w terminie określonym w umowie zastosowanie znajdzie art. 207 ustawy o finansach publicznych (ufp), ponieważ mamy wówczas do czynienia z wykorzystaniem środków niezgodnie z procedurami.</w:t>
      </w:r>
    </w:p>
    <w:p w14:paraId="75E6CD73" w14:textId="77777777" w:rsidR="00E05D9F" w:rsidRDefault="00E05D9F">
      <w:pPr>
        <w:spacing w:line="242" w:lineRule="exact"/>
        <w:rPr>
          <w:rFonts w:ascii="Times New Roman" w:eastAsia="Times New Roman" w:hAnsi="Times New Roman"/>
        </w:rPr>
      </w:pPr>
    </w:p>
    <w:p w14:paraId="3264A6D2" w14:textId="77777777" w:rsidR="00E05D9F" w:rsidRDefault="00E05D9F">
      <w:pPr>
        <w:spacing w:line="249" w:lineRule="auto"/>
        <w:ind w:left="8"/>
        <w:jc w:val="both"/>
        <w:rPr>
          <w:sz w:val="23"/>
        </w:rPr>
      </w:pPr>
      <w:r>
        <w:rPr>
          <w:sz w:val="23"/>
        </w:rPr>
        <w:t>Jednocześnie należy pamiętać, że w przypadku zmiany kwalifikowalności VAT i związanej z tym zmiany wysokości kosztów kwalifikowalnych oraz poziomu dofinansowania, konieczne jest uwzględnienie takich zmian w ramach wyliczenia kwoty podlegającej zwrotowi, na co zwrócono uwagę w końcowej części punktu IV niniejszego materiału.</w:t>
      </w:r>
    </w:p>
    <w:p w14:paraId="5A608B72" w14:textId="77777777" w:rsidR="00E05D9F" w:rsidRDefault="00E05D9F">
      <w:pPr>
        <w:spacing w:line="276" w:lineRule="exact"/>
        <w:rPr>
          <w:rFonts w:ascii="Times New Roman" w:eastAsia="Times New Roman" w:hAnsi="Times New Roman"/>
        </w:rPr>
      </w:pPr>
    </w:p>
    <w:p w14:paraId="44D2875B" w14:textId="77777777" w:rsidR="00E05D9F" w:rsidRDefault="00E05D9F">
      <w:pPr>
        <w:spacing w:line="273" w:lineRule="auto"/>
        <w:ind w:left="8"/>
        <w:jc w:val="both"/>
        <w:rPr>
          <w:sz w:val="21"/>
        </w:rPr>
      </w:pPr>
      <w:r>
        <w:rPr>
          <w:sz w:val="21"/>
        </w:rPr>
        <w:t xml:space="preserve">Wskazane w punkcie V. zasady stosowania mechanizmu monitorowania i wycofania mogą zostać zastosowane bez żadnych modyfikacji tylko w przypadku tych projektów, w odniesieniu do których podjęto </w:t>
      </w:r>
      <w:r w:rsidR="00474E92">
        <w:rPr>
          <w:sz w:val="21"/>
        </w:rPr>
        <w:t xml:space="preserve">  </w:t>
      </w:r>
      <w:r>
        <w:rPr>
          <w:sz w:val="21"/>
        </w:rPr>
        <w:t xml:space="preserve">decyzję </w:t>
      </w:r>
      <w:r w:rsidR="00474E92">
        <w:rPr>
          <w:sz w:val="21"/>
        </w:rPr>
        <w:t xml:space="preserve">  </w:t>
      </w:r>
      <w:r>
        <w:rPr>
          <w:sz w:val="21"/>
        </w:rPr>
        <w:t>o</w:t>
      </w:r>
      <w:r w:rsidR="00474E92">
        <w:rPr>
          <w:sz w:val="21"/>
        </w:rPr>
        <w:t xml:space="preserve">  </w:t>
      </w:r>
      <w:r>
        <w:rPr>
          <w:sz w:val="21"/>
        </w:rPr>
        <w:t xml:space="preserve"> </w:t>
      </w:r>
      <w:r w:rsidR="00474E92">
        <w:rPr>
          <w:sz w:val="21"/>
        </w:rPr>
        <w:t>niekwalifikowalności</w:t>
      </w:r>
      <w:r>
        <w:rPr>
          <w:sz w:val="21"/>
        </w:rPr>
        <w:t xml:space="preserve"> VAT zarówno w części dotyczącej działalności gospodarczej, jak</w:t>
      </w:r>
    </w:p>
    <w:p w14:paraId="5B9F79F6" w14:textId="77777777" w:rsidR="00E05D9F" w:rsidRDefault="00E05D9F">
      <w:pPr>
        <w:spacing w:line="56" w:lineRule="exact"/>
        <w:rPr>
          <w:rFonts w:ascii="Times New Roman" w:eastAsia="Times New Roman" w:hAnsi="Times New Roman"/>
        </w:rPr>
      </w:pPr>
    </w:p>
    <w:p w14:paraId="1016AC49" w14:textId="77777777" w:rsidR="00E05D9F" w:rsidRDefault="00E05D9F" w:rsidP="00FE1021">
      <w:pPr>
        <w:numPr>
          <w:ilvl w:val="0"/>
          <w:numId w:val="40"/>
        </w:numPr>
        <w:tabs>
          <w:tab w:val="left" w:pos="218"/>
        </w:tabs>
        <w:spacing w:line="239" w:lineRule="auto"/>
        <w:ind w:left="8" w:right="20" w:hanging="8"/>
        <w:jc w:val="both"/>
        <w:rPr>
          <w:sz w:val="23"/>
        </w:rPr>
      </w:pPr>
      <w:r>
        <w:rPr>
          <w:sz w:val="23"/>
        </w:rPr>
        <w:t>niegospodarczej. W przypadku projektów, w których VAT jest dopuszczalny jako wydatek kwalifikowalny w części odpowiadającej działalności niegospodarczej, stosowanie mechanizmu monitorowania i wycofania musi zostać zmodyfikowane.</w:t>
      </w:r>
    </w:p>
    <w:p w14:paraId="50DC1ECC" w14:textId="77777777" w:rsidR="00E05D9F" w:rsidRDefault="00E05D9F">
      <w:pPr>
        <w:spacing w:line="287" w:lineRule="exact"/>
        <w:rPr>
          <w:rFonts w:ascii="Times New Roman" w:eastAsia="Times New Roman" w:hAnsi="Times New Roman"/>
        </w:rPr>
      </w:pPr>
    </w:p>
    <w:p w14:paraId="27964D61" w14:textId="77777777" w:rsidR="00E05D9F" w:rsidRDefault="00E05D9F">
      <w:pPr>
        <w:spacing w:line="233" w:lineRule="auto"/>
        <w:ind w:left="8"/>
        <w:jc w:val="both"/>
        <w:rPr>
          <w:sz w:val="23"/>
        </w:rPr>
      </w:pPr>
      <w:r>
        <w:rPr>
          <w:sz w:val="23"/>
        </w:rPr>
        <w:t xml:space="preserve">W przypadku częściowej kwalifikowalności VAT, zakładaną w umowie proporcję wykorzystania infrastruktury w poszczególnych rodzajach działalności (tj. gospodarczej i niegospodarczej) należy odnieść do </w:t>
      </w:r>
      <w:r>
        <w:rPr>
          <w:b/>
          <w:sz w:val="23"/>
        </w:rPr>
        <w:t>kosztów brutto</w:t>
      </w:r>
      <w:r>
        <w:rPr>
          <w:sz w:val="23"/>
        </w:rPr>
        <w:t xml:space="preserve"> nabycia lub wytworzenia infrastruktury (K</w:t>
      </w:r>
      <w:r>
        <w:rPr>
          <w:sz w:val="27"/>
          <w:vertAlign w:val="subscript"/>
        </w:rPr>
        <w:t>brutto</w:t>
      </w:r>
      <w:r>
        <w:rPr>
          <w:sz w:val="23"/>
        </w:rPr>
        <w:t>). Na tej podstawie można określić wartość kosztów brutto infrastruktury przypadających na działalność gospodarczą (KDG</w:t>
      </w:r>
      <w:r>
        <w:rPr>
          <w:sz w:val="27"/>
          <w:vertAlign w:val="subscript"/>
        </w:rPr>
        <w:t>brutto</w:t>
      </w:r>
      <w:r>
        <w:rPr>
          <w:sz w:val="23"/>
        </w:rPr>
        <w:t>) oraz kosztów brutto odpowiadających działalności niegospodarczej (KDNG</w:t>
      </w:r>
      <w:r>
        <w:rPr>
          <w:sz w:val="27"/>
          <w:vertAlign w:val="subscript"/>
        </w:rPr>
        <w:t>brutto</w:t>
      </w:r>
      <w:r>
        <w:rPr>
          <w:sz w:val="23"/>
        </w:rPr>
        <w:t>).</w:t>
      </w:r>
    </w:p>
    <w:p w14:paraId="4C2350D6" w14:textId="77777777" w:rsidR="00E05D9F" w:rsidRDefault="00E05D9F">
      <w:pPr>
        <w:spacing w:line="234" w:lineRule="exact"/>
        <w:rPr>
          <w:rFonts w:ascii="Times New Roman" w:eastAsia="Times New Roman" w:hAnsi="Times New Roman"/>
        </w:rPr>
      </w:pPr>
    </w:p>
    <w:p w14:paraId="01E11057" w14:textId="77777777" w:rsidR="00E05D9F" w:rsidRDefault="00E05D9F">
      <w:pPr>
        <w:spacing w:line="0" w:lineRule="atLeast"/>
        <w:ind w:left="8"/>
        <w:rPr>
          <w:b/>
          <w:sz w:val="13"/>
        </w:rPr>
      </w:pPr>
      <w:r>
        <w:rPr>
          <w:b/>
          <w:sz w:val="23"/>
        </w:rPr>
        <w:t>K</w:t>
      </w:r>
      <w:r>
        <w:rPr>
          <w:b/>
          <w:sz w:val="13"/>
        </w:rPr>
        <w:t>brutto</w:t>
      </w:r>
      <w:r>
        <w:rPr>
          <w:b/>
          <w:sz w:val="23"/>
        </w:rPr>
        <w:t xml:space="preserve"> = KDG</w:t>
      </w:r>
      <w:r>
        <w:rPr>
          <w:b/>
          <w:sz w:val="13"/>
        </w:rPr>
        <w:t>brutto</w:t>
      </w:r>
      <w:r>
        <w:rPr>
          <w:b/>
          <w:sz w:val="23"/>
        </w:rPr>
        <w:t xml:space="preserve"> + KDNG</w:t>
      </w:r>
      <w:r>
        <w:rPr>
          <w:b/>
          <w:sz w:val="13"/>
        </w:rPr>
        <w:t>brutto</w:t>
      </w:r>
    </w:p>
    <w:p w14:paraId="323C90FB" w14:textId="77777777" w:rsidR="00E05D9F" w:rsidRDefault="00E05D9F">
      <w:pPr>
        <w:spacing w:line="280" w:lineRule="exact"/>
        <w:rPr>
          <w:rFonts w:ascii="Times New Roman" w:eastAsia="Times New Roman" w:hAnsi="Times New Roman"/>
        </w:rPr>
      </w:pPr>
    </w:p>
    <w:p w14:paraId="5892A994" w14:textId="77777777" w:rsidR="00E05D9F" w:rsidRDefault="00E05D9F">
      <w:pPr>
        <w:spacing w:line="249" w:lineRule="auto"/>
        <w:ind w:left="8"/>
        <w:jc w:val="both"/>
        <w:rPr>
          <w:sz w:val="23"/>
        </w:rPr>
      </w:pPr>
      <w:r>
        <w:rPr>
          <w:sz w:val="23"/>
        </w:rPr>
        <w:t>Przyjęcie odmiennego podejścia, tj. uwzględnienie (nie)kwalifikowalności VAT na etapie określania relacji obu rodzajów działalności, już na wstępie skutkowałoby sztucznym zaburzeniem zakładanej proporcji i w efekcie - niewłaściwymi wyliczeniami w zakresie dopuszczalnych wielkości dofinansowania i ewentualnych kwot przypadających do zwrotu.</w:t>
      </w:r>
    </w:p>
    <w:p w14:paraId="0D806CAF" w14:textId="77777777" w:rsidR="00E05D9F" w:rsidRDefault="00E05D9F">
      <w:pPr>
        <w:spacing w:line="276" w:lineRule="exact"/>
        <w:rPr>
          <w:rFonts w:ascii="Times New Roman" w:eastAsia="Times New Roman" w:hAnsi="Times New Roman"/>
        </w:rPr>
      </w:pPr>
    </w:p>
    <w:p w14:paraId="12D627DB" w14:textId="77777777" w:rsidR="00E05D9F" w:rsidRDefault="00E05D9F">
      <w:pPr>
        <w:spacing w:line="255" w:lineRule="auto"/>
        <w:ind w:left="8"/>
        <w:jc w:val="both"/>
        <w:rPr>
          <w:sz w:val="23"/>
        </w:rPr>
      </w:pPr>
      <w:r>
        <w:rPr>
          <w:sz w:val="23"/>
        </w:rPr>
        <w:t>Podstawą określenia wartości dofinansowania dla całej infrastruktury w ramach projektu, w tym - intensywności pomocy publicznej, są jednak koszty kwalifikowalne. W zakresie części niegospodarczej, całość kosztów będzie kwalifikowalna (przy założeniu że VAT w tym wypadku nie jest odzyskiwalny). W przypadku części odpowiadającej działalności gospodarczej, z uwagi na fakt, że możliwe jest odzyskanie przez beneficjenta VAT, zgodnie z zasadami pomocy publicznej nie będzie on kosztem kwalifikowalnym. W części gospodarczej kwalifikowalne są zatem wyłącznie koszty infrastruktury netto, z wyłączeniem VAT.</w:t>
      </w:r>
    </w:p>
    <w:p w14:paraId="3CC3AB77" w14:textId="77777777" w:rsidR="00E05D9F" w:rsidRDefault="00E05D9F">
      <w:pPr>
        <w:spacing w:line="302" w:lineRule="exact"/>
        <w:rPr>
          <w:rFonts w:ascii="Times New Roman" w:eastAsia="Times New Roman" w:hAnsi="Times New Roman"/>
        </w:rPr>
      </w:pPr>
    </w:p>
    <w:p w14:paraId="3995C2D5" w14:textId="77777777" w:rsidR="00E05D9F" w:rsidRDefault="00E05D9F">
      <w:pPr>
        <w:spacing w:line="0" w:lineRule="atLeast"/>
        <w:ind w:left="8868"/>
      </w:pPr>
      <w:r>
        <w:t>15</w:t>
      </w:r>
    </w:p>
    <w:p w14:paraId="41602D9C" w14:textId="77777777" w:rsidR="00E05D9F" w:rsidRDefault="00E05D9F">
      <w:pPr>
        <w:spacing w:line="0" w:lineRule="atLeast"/>
        <w:ind w:left="8868"/>
        <w:sectPr w:rsidR="00E05D9F" w:rsidSect="00F716F9">
          <w:pgSz w:w="11920" w:h="16845"/>
          <w:pgMar w:top="1440" w:right="1410" w:bottom="1440" w:left="1412" w:header="0" w:footer="68" w:gutter="0"/>
          <w:cols w:space="0" w:equalWidth="0">
            <w:col w:w="9088"/>
          </w:cols>
          <w:docGrid w:linePitch="360"/>
        </w:sectPr>
      </w:pPr>
    </w:p>
    <w:p w14:paraId="21C29769" w14:textId="77777777" w:rsidR="00E05D9F" w:rsidRDefault="00E05D9F">
      <w:pPr>
        <w:spacing w:line="0" w:lineRule="atLeast"/>
        <w:ind w:left="8"/>
        <w:rPr>
          <w:sz w:val="23"/>
        </w:rPr>
      </w:pPr>
      <w:bookmarkStart w:id="15" w:name="page16"/>
      <w:bookmarkEnd w:id="15"/>
      <w:r>
        <w:rPr>
          <w:sz w:val="23"/>
        </w:rPr>
        <w:lastRenderedPageBreak/>
        <w:t>Wartość dopuszczalnego finansowania publicznego wynosi więc:</w:t>
      </w:r>
    </w:p>
    <w:p w14:paraId="41375389" w14:textId="77777777" w:rsidR="00E05D9F" w:rsidRDefault="00E05D9F">
      <w:pPr>
        <w:spacing w:line="41" w:lineRule="exact"/>
        <w:rPr>
          <w:rFonts w:ascii="Times New Roman" w:eastAsia="Times New Roman" w:hAnsi="Times New Roman"/>
        </w:rPr>
      </w:pPr>
    </w:p>
    <w:p w14:paraId="028C980C" w14:textId="77777777" w:rsidR="00E05D9F" w:rsidRPr="00C36DA5" w:rsidRDefault="00E05D9F">
      <w:pPr>
        <w:spacing w:line="0" w:lineRule="atLeast"/>
        <w:ind w:left="8"/>
        <w:rPr>
          <w:b/>
          <w:sz w:val="23"/>
          <w:lang w:val="en-US"/>
        </w:rPr>
      </w:pPr>
      <w:r w:rsidRPr="00C36DA5">
        <w:rPr>
          <w:b/>
          <w:sz w:val="23"/>
          <w:lang w:val="en-US"/>
        </w:rPr>
        <w:t>FP = I</w:t>
      </w:r>
      <w:r w:rsidRPr="00C36DA5">
        <w:rPr>
          <w:b/>
          <w:sz w:val="13"/>
          <w:lang w:val="en-US"/>
        </w:rPr>
        <w:t>DNG</w:t>
      </w:r>
      <w:r w:rsidRPr="00C36DA5">
        <w:rPr>
          <w:b/>
          <w:sz w:val="23"/>
          <w:lang w:val="en-US"/>
        </w:rPr>
        <w:t xml:space="preserve"> x KDNG</w:t>
      </w:r>
      <w:r w:rsidRPr="00C36DA5">
        <w:rPr>
          <w:b/>
          <w:sz w:val="13"/>
          <w:lang w:val="en-US"/>
        </w:rPr>
        <w:t>brutto</w:t>
      </w:r>
      <w:r w:rsidRPr="00C36DA5">
        <w:rPr>
          <w:b/>
          <w:sz w:val="23"/>
          <w:lang w:val="en-US"/>
        </w:rPr>
        <w:t xml:space="preserve"> + I</w:t>
      </w:r>
      <w:r w:rsidRPr="00C36DA5">
        <w:rPr>
          <w:b/>
          <w:sz w:val="13"/>
          <w:lang w:val="en-US"/>
        </w:rPr>
        <w:t>DG</w:t>
      </w:r>
      <w:r w:rsidRPr="00C36DA5">
        <w:rPr>
          <w:b/>
          <w:sz w:val="23"/>
          <w:lang w:val="en-US"/>
        </w:rPr>
        <w:t xml:space="preserve"> x KDG</w:t>
      </w:r>
      <w:r w:rsidRPr="00C36DA5">
        <w:rPr>
          <w:b/>
          <w:sz w:val="13"/>
          <w:lang w:val="en-US"/>
        </w:rPr>
        <w:t>netto</w:t>
      </w:r>
      <w:r w:rsidRPr="00C36DA5">
        <w:rPr>
          <w:b/>
          <w:sz w:val="23"/>
          <w:lang w:val="en-US"/>
        </w:rPr>
        <w:t>.</w:t>
      </w:r>
    </w:p>
    <w:p w14:paraId="66B1BFB3" w14:textId="77777777" w:rsidR="00E05D9F" w:rsidRPr="00C36DA5" w:rsidRDefault="00E05D9F">
      <w:pPr>
        <w:spacing w:line="279" w:lineRule="exact"/>
        <w:rPr>
          <w:rFonts w:ascii="Times New Roman" w:eastAsia="Times New Roman" w:hAnsi="Times New Roman"/>
          <w:lang w:val="en-US"/>
        </w:rPr>
      </w:pPr>
    </w:p>
    <w:p w14:paraId="4C1430D6" w14:textId="77777777" w:rsidR="00E05D9F" w:rsidRDefault="00E05D9F">
      <w:pPr>
        <w:spacing w:line="233" w:lineRule="auto"/>
        <w:ind w:left="8"/>
        <w:jc w:val="both"/>
        <w:rPr>
          <w:sz w:val="23"/>
        </w:rPr>
      </w:pPr>
      <w:r>
        <w:rPr>
          <w:sz w:val="23"/>
        </w:rPr>
        <w:t>Uwzględniając zakładany okres monitorowania infrastruktury, oblicza się następnie roczną alokację finansowania publicznego (RFP), roczną alokację finansowania publicznego działalności gospodarczej (RFPDG), roczną alokację finansowania publicznego działalności niegospodarczej (RFPDNG), roczną alokację kosztów działalności niegospodarczej brutto (RKDNG</w:t>
      </w:r>
      <w:r>
        <w:rPr>
          <w:sz w:val="27"/>
          <w:vertAlign w:val="subscript"/>
        </w:rPr>
        <w:t>brutto</w:t>
      </w:r>
      <w:r>
        <w:rPr>
          <w:sz w:val="23"/>
        </w:rPr>
        <w:t>) oraz</w:t>
      </w:r>
      <w:r w:rsidR="00B85CE9">
        <w:rPr>
          <w:sz w:val="23"/>
        </w:rPr>
        <w:t> </w:t>
      </w:r>
      <w:r>
        <w:rPr>
          <w:sz w:val="23"/>
        </w:rPr>
        <w:t>roczną alokację kosztów działalności gospodarczej netto (RKDG</w:t>
      </w:r>
      <w:r>
        <w:rPr>
          <w:sz w:val="27"/>
          <w:vertAlign w:val="subscript"/>
        </w:rPr>
        <w:t>netto</w:t>
      </w:r>
      <w:r>
        <w:rPr>
          <w:sz w:val="23"/>
        </w:rPr>
        <w:t>).</w:t>
      </w:r>
    </w:p>
    <w:p w14:paraId="3DA2676C" w14:textId="77777777" w:rsidR="00E05D9F" w:rsidRDefault="00E05D9F">
      <w:pPr>
        <w:spacing w:line="228" w:lineRule="exact"/>
        <w:rPr>
          <w:rFonts w:ascii="Times New Roman" w:eastAsia="Times New Roman" w:hAnsi="Times New Roman"/>
        </w:rPr>
      </w:pPr>
    </w:p>
    <w:p w14:paraId="1A66605F" w14:textId="77777777" w:rsidR="00E05D9F" w:rsidRDefault="00E05D9F">
      <w:pPr>
        <w:spacing w:line="0" w:lineRule="atLeast"/>
        <w:ind w:left="8"/>
        <w:rPr>
          <w:sz w:val="23"/>
          <w:u w:val="single"/>
        </w:rPr>
      </w:pPr>
      <w:r>
        <w:rPr>
          <w:sz w:val="23"/>
          <w:u w:val="single"/>
        </w:rPr>
        <w:t>Przykład:</w:t>
      </w:r>
    </w:p>
    <w:p w14:paraId="648BD096" w14:textId="77777777" w:rsidR="00E05D9F" w:rsidRDefault="00E05D9F">
      <w:pPr>
        <w:spacing w:line="286" w:lineRule="exact"/>
        <w:rPr>
          <w:rFonts w:ascii="Times New Roman" w:eastAsia="Times New Roman" w:hAnsi="Times New Roman"/>
        </w:rPr>
      </w:pPr>
    </w:p>
    <w:p w14:paraId="62CDED8C" w14:textId="77777777" w:rsidR="00E05D9F" w:rsidRDefault="00E05D9F">
      <w:pPr>
        <w:spacing w:line="246" w:lineRule="auto"/>
        <w:ind w:left="8"/>
        <w:jc w:val="both"/>
        <w:rPr>
          <w:sz w:val="23"/>
        </w:rPr>
      </w:pPr>
      <w:r>
        <w:rPr>
          <w:sz w:val="23"/>
        </w:rPr>
        <w:t>Przedsiębiorca otrzymał finansowanie publiczne na zakup/wytworzenie infrastruktury. Z opisu projektu i zawartej umowy wynika, że wydajność tej infrastruktury przewidziana corocznie na działalność gospodarczą nie będzie przekraczać 30%. Całkowite łączne koszty brutto infrastruktury wynoszą 12 300 000 zł (dla uproszczenia przyjęto jednolitą stawkę VAT - 23%), z</w:t>
      </w:r>
      <w:r w:rsidR="00B85CE9">
        <w:rPr>
          <w:sz w:val="23"/>
        </w:rPr>
        <w:t> </w:t>
      </w:r>
      <w:r>
        <w:rPr>
          <w:sz w:val="23"/>
        </w:rPr>
        <w:t>czego wynika, że KDNG</w:t>
      </w:r>
      <w:r>
        <w:rPr>
          <w:sz w:val="27"/>
          <w:vertAlign w:val="subscript"/>
        </w:rPr>
        <w:t>brutto</w:t>
      </w:r>
      <w:r>
        <w:rPr>
          <w:sz w:val="23"/>
        </w:rPr>
        <w:t xml:space="preserve"> wynoszą 8 610 000 zł, a KDG</w:t>
      </w:r>
      <w:r>
        <w:rPr>
          <w:sz w:val="27"/>
          <w:vertAlign w:val="subscript"/>
        </w:rPr>
        <w:t>brutto</w:t>
      </w:r>
      <w:r>
        <w:rPr>
          <w:sz w:val="23"/>
        </w:rPr>
        <w:t xml:space="preserve"> – 3 690 000 zł, czyli KDG</w:t>
      </w:r>
      <w:r>
        <w:rPr>
          <w:sz w:val="27"/>
          <w:vertAlign w:val="subscript"/>
        </w:rPr>
        <w:t>netto</w:t>
      </w:r>
      <w:r>
        <w:rPr>
          <w:sz w:val="23"/>
        </w:rPr>
        <w:t xml:space="preserve"> – 3</w:t>
      </w:r>
      <w:r w:rsidR="00B85CE9">
        <w:rPr>
          <w:sz w:val="23"/>
        </w:rPr>
        <w:t> </w:t>
      </w:r>
      <w:r>
        <w:rPr>
          <w:sz w:val="23"/>
        </w:rPr>
        <w:t>000 000 zł. Okres monitorowania infrastruktury wynosi 10 lat.</w:t>
      </w:r>
    </w:p>
    <w:p w14:paraId="111EF2A6" w14:textId="77777777" w:rsidR="00E05D9F" w:rsidRDefault="00E05D9F">
      <w:pPr>
        <w:spacing w:line="280" w:lineRule="exact"/>
        <w:rPr>
          <w:rFonts w:ascii="Times New Roman" w:eastAsia="Times New Roman" w:hAnsi="Times New Roman"/>
        </w:rPr>
      </w:pPr>
    </w:p>
    <w:p w14:paraId="6B4F7529" w14:textId="77777777" w:rsidR="00E05D9F" w:rsidRDefault="00E05D9F">
      <w:pPr>
        <w:spacing w:line="239" w:lineRule="auto"/>
        <w:ind w:left="8"/>
        <w:jc w:val="both"/>
        <w:rPr>
          <w:sz w:val="23"/>
        </w:rPr>
      </w:pPr>
      <w:r>
        <w:rPr>
          <w:sz w:val="23"/>
        </w:rPr>
        <w:t>Wartość dopuszczalnego finansowania publicznego (przy założeniu dopuszczalnej intensywności wsparcia w zakresie działalności niegospodarczej na poziomie 100% i intensywności pomocy publicznej na poziomie 50%) wynosi zatem:</w:t>
      </w:r>
    </w:p>
    <w:p w14:paraId="624EA233" w14:textId="77777777" w:rsidR="00E05D9F" w:rsidRDefault="00E05D9F">
      <w:pPr>
        <w:spacing w:line="231" w:lineRule="exact"/>
        <w:rPr>
          <w:rFonts w:ascii="Times New Roman" w:eastAsia="Times New Roman" w:hAnsi="Times New Roman"/>
        </w:rPr>
      </w:pPr>
    </w:p>
    <w:p w14:paraId="7DB1658D" w14:textId="77777777" w:rsidR="00E05D9F" w:rsidRDefault="00E05D9F">
      <w:pPr>
        <w:spacing w:line="0" w:lineRule="atLeast"/>
        <w:ind w:left="8"/>
        <w:rPr>
          <w:sz w:val="23"/>
        </w:rPr>
      </w:pPr>
      <w:r>
        <w:rPr>
          <w:sz w:val="23"/>
        </w:rPr>
        <w:t>FP = 100% x 8 610 000 zł + 50% x 3 000 000 zł = 10 110 000 zł.</w:t>
      </w:r>
    </w:p>
    <w:p w14:paraId="1991C910" w14:textId="77777777" w:rsidR="00E05D9F" w:rsidRDefault="00E05D9F">
      <w:pPr>
        <w:spacing w:line="230" w:lineRule="exact"/>
        <w:rPr>
          <w:rFonts w:ascii="Times New Roman" w:eastAsia="Times New Roman" w:hAnsi="Times New Roman"/>
        </w:rPr>
      </w:pPr>
    </w:p>
    <w:p w14:paraId="08DB2197" w14:textId="77777777" w:rsidR="00E05D9F" w:rsidRDefault="00E05D9F">
      <w:pPr>
        <w:spacing w:line="0" w:lineRule="atLeast"/>
        <w:ind w:left="8"/>
        <w:rPr>
          <w:sz w:val="23"/>
        </w:rPr>
      </w:pPr>
      <w:r>
        <w:rPr>
          <w:sz w:val="23"/>
        </w:rPr>
        <w:t>Roczna alokacja finansowania publicznego (RFP):</w:t>
      </w:r>
    </w:p>
    <w:p w14:paraId="59A448DD" w14:textId="77777777" w:rsidR="00E05D9F" w:rsidRDefault="00E05D9F">
      <w:pPr>
        <w:spacing w:line="35" w:lineRule="exact"/>
        <w:rPr>
          <w:rFonts w:ascii="Times New Roman" w:eastAsia="Times New Roman" w:hAnsi="Times New Roman"/>
        </w:rPr>
      </w:pPr>
    </w:p>
    <w:p w14:paraId="0E8C2A2B" w14:textId="77777777" w:rsidR="00E05D9F" w:rsidRDefault="00E05D9F">
      <w:pPr>
        <w:spacing w:line="0" w:lineRule="atLeast"/>
        <w:ind w:left="8"/>
        <w:rPr>
          <w:sz w:val="23"/>
        </w:rPr>
      </w:pPr>
      <w:r>
        <w:rPr>
          <w:sz w:val="23"/>
        </w:rPr>
        <w:t>RFP = 1/10 x 10 110 000 zł = 1 011 000 zł.</w:t>
      </w:r>
    </w:p>
    <w:p w14:paraId="323A6BF8" w14:textId="77777777" w:rsidR="00E05D9F" w:rsidRDefault="00E05D9F">
      <w:pPr>
        <w:spacing w:line="285" w:lineRule="exact"/>
        <w:rPr>
          <w:rFonts w:ascii="Times New Roman" w:eastAsia="Times New Roman" w:hAnsi="Times New Roman"/>
        </w:rPr>
      </w:pPr>
    </w:p>
    <w:p w14:paraId="064CD35A" w14:textId="77777777" w:rsidR="00E05D9F" w:rsidRPr="00B85CE9" w:rsidRDefault="00E05D9F" w:rsidP="00B85CE9">
      <w:pPr>
        <w:spacing w:line="282" w:lineRule="auto"/>
        <w:ind w:left="8"/>
        <w:jc w:val="both"/>
        <w:rPr>
          <w:sz w:val="21"/>
        </w:rPr>
      </w:pPr>
      <w:r>
        <w:rPr>
          <w:sz w:val="21"/>
        </w:rPr>
        <w:t>Po przyjęciu do użytkowania powstałej infrastruktury rozpoczyna się monitorowanie sposobu jej wykorzystania. W sytuacji gdy monitoring wykaże, iż w danym roku doszło do zmiany proporcji pomiędzy realizowaną działalnością gospodarczą (np. jej udział wzrósł do 40%) a niegospodarczą, konieczne jest wyliczenie kwoty dofinansowania podlegającej zwrotowi przez beneficjenta. Na podstawie rzeczywistej, osiągniętej w danym roku proporcji wykorzystania infrastruktury dokonuje się obliczenia przypadających na ten rok (rok „n”) kosztów brutto infrastruktury dla działalności gospodarczej oraz działalności niegospodarczej, a następnie wylicza się koszty netto infrastruktury dla działalności gospodarczej. Analogicznie do rachunku przedstawionego wcześniej należy obliczyć wartość finansowania publicznego odpowiadającego wartościom kosztów właściwych dla roku „n”. Należna do zwrotu wartość finansowania publicznego (Z</w:t>
      </w:r>
      <w:r>
        <w:rPr>
          <w:sz w:val="25"/>
          <w:vertAlign w:val="subscript"/>
        </w:rPr>
        <w:t>n</w:t>
      </w:r>
      <w:r>
        <w:rPr>
          <w:sz w:val="21"/>
        </w:rPr>
        <w:t>), wynikająca z naruszenia zakładanej w umowie o dofinansowanie proporcji między działalnością gospodarczą a niegospodarczą, stanowi różnicę między roczną alokacją finansowania publicznego (RFP) a wartością finansowania publicznego, odpowiadającą rzeczywistej, zrealizowanej w</w:t>
      </w:r>
      <w:r w:rsidR="00B85CE9">
        <w:rPr>
          <w:sz w:val="21"/>
        </w:rPr>
        <w:t> </w:t>
      </w:r>
      <w:r>
        <w:rPr>
          <w:sz w:val="21"/>
        </w:rPr>
        <w:t>roku „n” proporcji między działalnością gospodarczą</w:t>
      </w:r>
      <w:r w:rsidR="00B85CE9">
        <w:rPr>
          <w:sz w:val="21"/>
        </w:rPr>
        <w:t xml:space="preserve"> i </w:t>
      </w:r>
      <w:r>
        <w:rPr>
          <w:sz w:val="23"/>
        </w:rPr>
        <w:t>niegospodarczą.</w:t>
      </w:r>
    </w:p>
    <w:p w14:paraId="4C54D765" w14:textId="77777777" w:rsidR="00E05D9F" w:rsidRDefault="00E05D9F">
      <w:pPr>
        <w:spacing w:line="232" w:lineRule="exact"/>
        <w:rPr>
          <w:rFonts w:ascii="Times New Roman" w:eastAsia="Times New Roman" w:hAnsi="Times New Roman"/>
        </w:rPr>
      </w:pPr>
    </w:p>
    <w:p w14:paraId="6DD82444" w14:textId="77777777" w:rsidR="00E05D9F" w:rsidRDefault="00E05D9F">
      <w:pPr>
        <w:spacing w:line="218" w:lineRule="auto"/>
        <w:ind w:left="8" w:right="20"/>
        <w:jc w:val="both"/>
        <w:rPr>
          <w:sz w:val="23"/>
        </w:rPr>
      </w:pPr>
      <w:r>
        <w:rPr>
          <w:sz w:val="23"/>
        </w:rPr>
        <w:t>W przykładzie: RKDNG</w:t>
      </w:r>
      <w:r>
        <w:rPr>
          <w:sz w:val="27"/>
          <w:vertAlign w:val="subscript"/>
        </w:rPr>
        <w:t>brutto n</w:t>
      </w:r>
      <w:r>
        <w:rPr>
          <w:sz w:val="23"/>
        </w:rPr>
        <w:t xml:space="preserve"> wynoszą w roku „n” 738 000 zł (co stanowi 60% rocznej alokacji kosztów infrastruktury), a RKDG</w:t>
      </w:r>
      <w:r>
        <w:rPr>
          <w:sz w:val="27"/>
          <w:vertAlign w:val="subscript"/>
        </w:rPr>
        <w:t>brutto n</w:t>
      </w:r>
      <w:r>
        <w:rPr>
          <w:sz w:val="23"/>
        </w:rPr>
        <w:t xml:space="preserve"> – 492 000 zł (czyli 40% rocznej alokacji kosztów infrastruktury), a zatem: RKDG</w:t>
      </w:r>
      <w:r>
        <w:rPr>
          <w:sz w:val="27"/>
          <w:vertAlign w:val="subscript"/>
        </w:rPr>
        <w:t>netto n</w:t>
      </w:r>
      <w:r>
        <w:rPr>
          <w:sz w:val="23"/>
        </w:rPr>
        <w:t xml:space="preserve"> – 400 000 zł.</w:t>
      </w:r>
    </w:p>
    <w:p w14:paraId="17F43818" w14:textId="77777777" w:rsidR="00E05D9F" w:rsidRDefault="00E05D9F">
      <w:pPr>
        <w:spacing w:line="225" w:lineRule="exact"/>
        <w:rPr>
          <w:rFonts w:ascii="Times New Roman" w:eastAsia="Times New Roman" w:hAnsi="Times New Roman"/>
        </w:rPr>
      </w:pPr>
    </w:p>
    <w:p w14:paraId="0F18C012" w14:textId="77777777" w:rsidR="00E05D9F" w:rsidRDefault="00E05D9F">
      <w:pPr>
        <w:spacing w:line="0" w:lineRule="atLeast"/>
        <w:ind w:left="8868"/>
      </w:pPr>
      <w:r>
        <w:t>16</w:t>
      </w:r>
    </w:p>
    <w:p w14:paraId="438D33BA" w14:textId="77777777" w:rsidR="00E05D9F" w:rsidRDefault="00E05D9F">
      <w:pPr>
        <w:spacing w:line="0" w:lineRule="atLeast"/>
        <w:ind w:left="8868"/>
        <w:sectPr w:rsidR="00E05D9F" w:rsidSect="00F716F9">
          <w:pgSz w:w="11920" w:h="16845"/>
          <w:pgMar w:top="1396" w:right="1410" w:bottom="1440" w:left="1412" w:header="0" w:footer="68" w:gutter="0"/>
          <w:cols w:space="0" w:equalWidth="0">
            <w:col w:w="9088"/>
          </w:cols>
          <w:docGrid w:linePitch="360"/>
        </w:sectPr>
      </w:pPr>
    </w:p>
    <w:p w14:paraId="1B064176" w14:textId="77777777" w:rsidR="00E05D9F" w:rsidRDefault="00E05D9F">
      <w:pPr>
        <w:spacing w:line="0" w:lineRule="atLeast"/>
        <w:ind w:left="8"/>
        <w:rPr>
          <w:b/>
          <w:sz w:val="23"/>
        </w:rPr>
      </w:pPr>
      <w:bookmarkStart w:id="16" w:name="page17"/>
      <w:bookmarkEnd w:id="16"/>
      <w:r>
        <w:rPr>
          <w:b/>
          <w:sz w:val="23"/>
        </w:rPr>
        <w:lastRenderedPageBreak/>
        <w:t>Z</w:t>
      </w:r>
      <w:r>
        <w:rPr>
          <w:b/>
          <w:sz w:val="27"/>
          <w:vertAlign w:val="subscript"/>
        </w:rPr>
        <w:t>n</w:t>
      </w:r>
      <w:r>
        <w:rPr>
          <w:b/>
          <w:sz w:val="23"/>
        </w:rPr>
        <w:t xml:space="preserve"> = RFP – (RFPDNG</w:t>
      </w:r>
      <w:r>
        <w:rPr>
          <w:b/>
          <w:sz w:val="27"/>
          <w:vertAlign w:val="subscript"/>
        </w:rPr>
        <w:t>n</w:t>
      </w:r>
      <w:r>
        <w:rPr>
          <w:b/>
          <w:sz w:val="23"/>
        </w:rPr>
        <w:t xml:space="preserve"> + RFPDG</w:t>
      </w:r>
      <w:r>
        <w:rPr>
          <w:b/>
          <w:sz w:val="27"/>
          <w:vertAlign w:val="subscript"/>
        </w:rPr>
        <w:t>n</w:t>
      </w:r>
      <w:r>
        <w:rPr>
          <w:b/>
          <w:sz w:val="23"/>
        </w:rPr>
        <w:t>) = RFP - ( I</w:t>
      </w:r>
      <w:r>
        <w:rPr>
          <w:b/>
          <w:sz w:val="27"/>
          <w:vertAlign w:val="subscript"/>
        </w:rPr>
        <w:t>DNG</w:t>
      </w:r>
      <w:r>
        <w:rPr>
          <w:b/>
          <w:sz w:val="23"/>
        </w:rPr>
        <w:t xml:space="preserve"> x RKDNG</w:t>
      </w:r>
      <w:r>
        <w:rPr>
          <w:b/>
          <w:sz w:val="27"/>
          <w:vertAlign w:val="subscript"/>
        </w:rPr>
        <w:t>brutto n</w:t>
      </w:r>
      <w:r>
        <w:rPr>
          <w:b/>
          <w:sz w:val="23"/>
        </w:rPr>
        <w:t xml:space="preserve"> + I</w:t>
      </w:r>
      <w:r>
        <w:rPr>
          <w:b/>
          <w:sz w:val="27"/>
          <w:vertAlign w:val="subscript"/>
        </w:rPr>
        <w:t>DG</w:t>
      </w:r>
      <w:r>
        <w:rPr>
          <w:b/>
          <w:sz w:val="23"/>
        </w:rPr>
        <w:t xml:space="preserve"> x RKDG</w:t>
      </w:r>
      <w:r>
        <w:rPr>
          <w:b/>
          <w:sz w:val="27"/>
          <w:vertAlign w:val="subscript"/>
        </w:rPr>
        <w:t>netto n</w:t>
      </w:r>
      <w:r>
        <w:rPr>
          <w:b/>
          <w:sz w:val="23"/>
        </w:rPr>
        <w:t>)</w:t>
      </w:r>
    </w:p>
    <w:p w14:paraId="5A0A0C01" w14:textId="77777777" w:rsidR="00E05D9F" w:rsidRDefault="00E05D9F">
      <w:pPr>
        <w:spacing w:line="181" w:lineRule="exact"/>
        <w:rPr>
          <w:rFonts w:ascii="Times New Roman" w:eastAsia="Times New Roman" w:hAnsi="Times New Roman"/>
        </w:rPr>
      </w:pPr>
    </w:p>
    <w:p w14:paraId="4E7B6EC9" w14:textId="77777777" w:rsidR="00E05D9F" w:rsidRDefault="00E05D9F">
      <w:pPr>
        <w:spacing w:line="0" w:lineRule="atLeast"/>
        <w:ind w:left="8"/>
        <w:rPr>
          <w:sz w:val="23"/>
        </w:rPr>
      </w:pPr>
      <w:r>
        <w:rPr>
          <w:sz w:val="23"/>
        </w:rPr>
        <w:t>Z</w:t>
      </w:r>
      <w:r>
        <w:rPr>
          <w:sz w:val="27"/>
          <w:vertAlign w:val="subscript"/>
        </w:rPr>
        <w:t>n</w:t>
      </w:r>
      <w:r>
        <w:rPr>
          <w:sz w:val="23"/>
        </w:rPr>
        <w:t xml:space="preserve"> = 1 011 000 zł – (100% x 738 000 zł + 50% x 400 000 zł) = 1 011 000 zł – 938 000 zł = 73 000 zł</w:t>
      </w:r>
    </w:p>
    <w:p w14:paraId="7055E87D" w14:textId="77777777" w:rsidR="00E05D9F" w:rsidRDefault="00E05D9F">
      <w:pPr>
        <w:spacing w:line="225" w:lineRule="exact"/>
        <w:rPr>
          <w:rFonts w:ascii="Times New Roman" w:eastAsia="Times New Roman" w:hAnsi="Times New Roman"/>
        </w:rPr>
      </w:pPr>
    </w:p>
    <w:p w14:paraId="2AC4EA97" w14:textId="77777777" w:rsidR="00E05D9F" w:rsidRPr="00C56546" w:rsidRDefault="00E05D9F" w:rsidP="00FE1021">
      <w:pPr>
        <w:numPr>
          <w:ilvl w:val="0"/>
          <w:numId w:val="41"/>
        </w:numPr>
        <w:tabs>
          <w:tab w:val="left" w:pos="263"/>
        </w:tabs>
        <w:spacing w:line="270" w:lineRule="auto"/>
        <w:ind w:left="8" w:hanging="8"/>
        <w:jc w:val="both"/>
        <w:rPr>
          <w:sz w:val="23"/>
          <w:szCs w:val="23"/>
        </w:rPr>
      </w:pPr>
      <w:r w:rsidRPr="00C56546">
        <w:rPr>
          <w:sz w:val="23"/>
          <w:szCs w:val="23"/>
        </w:rPr>
        <w:t xml:space="preserve">przypadku </w:t>
      </w:r>
      <w:r w:rsidRPr="00C56546">
        <w:rPr>
          <w:sz w:val="23"/>
          <w:szCs w:val="23"/>
          <w:u w:val="single"/>
        </w:rPr>
        <w:t>legalizacji pomocy publicznej</w:t>
      </w:r>
      <w:r w:rsidRPr="00C56546">
        <w:rPr>
          <w:sz w:val="23"/>
          <w:szCs w:val="23"/>
        </w:rPr>
        <w:t xml:space="preserve"> wartość pomocy podlegającej legalizacji dla roku „n” (L</w:t>
      </w:r>
      <w:r w:rsidRPr="00C56546">
        <w:rPr>
          <w:sz w:val="23"/>
          <w:szCs w:val="23"/>
          <w:vertAlign w:val="subscript"/>
        </w:rPr>
        <w:t>n</w:t>
      </w:r>
      <w:r w:rsidRPr="00C56546">
        <w:rPr>
          <w:sz w:val="23"/>
          <w:szCs w:val="23"/>
        </w:rPr>
        <w:t xml:space="preserve">), ujętej </w:t>
      </w:r>
      <w:r w:rsidR="00C56546" w:rsidRPr="00C56546">
        <w:rPr>
          <w:sz w:val="23"/>
          <w:szCs w:val="23"/>
        </w:rPr>
        <w:t xml:space="preserve"> </w:t>
      </w:r>
      <w:r w:rsidRPr="00C56546">
        <w:rPr>
          <w:sz w:val="23"/>
          <w:szCs w:val="23"/>
        </w:rPr>
        <w:t>w</w:t>
      </w:r>
      <w:r w:rsidR="00C56546" w:rsidRPr="00C56546">
        <w:rPr>
          <w:sz w:val="23"/>
          <w:szCs w:val="23"/>
        </w:rPr>
        <w:t xml:space="preserve"> </w:t>
      </w:r>
      <w:r w:rsidRPr="00C56546">
        <w:rPr>
          <w:sz w:val="23"/>
          <w:szCs w:val="23"/>
        </w:rPr>
        <w:t xml:space="preserve"> kwocie </w:t>
      </w:r>
      <w:r w:rsidR="00C56546" w:rsidRPr="00C56546">
        <w:rPr>
          <w:sz w:val="23"/>
          <w:szCs w:val="23"/>
        </w:rPr>
        <w:t xml:space="preserve"> </w:t>
      </w:r>
      <w:r w:rsidRPr="00C56546">
        <w:rPr>
          <w:sz w:val="23"/>
          <w:szCs w:val="23"/>
        </w:rPr>
        <w:t xml:space="preserve">należnego </w:t>
      </w:r>
      <w:r w:rsidR="00C56546" w:rsidRPr="00C56546">
        <w:rPr>
          <w:sz w:val="23"/>
          <w:szCs w:val="23"/>
        </w:rPr>
        <w:t xml:space="preserve"> </w:t>
      </w:r>
      <w:r w:rsidRPr="00C56546">
        <w:rPr>
          <w:sz w:val="23"/>
          <w:szCs w:val="23"/>
        </w:rPr>
        <w:t xml:space="preserve">w </w:t>
      </w:r>
      <w:r w:rsidR="00C56546" w:rsidRPr="00C56546">
        <w:rPr>
          <w:sz w:val="23"/>
          <w:szCs w:val="23"/>
        </w:rPr>
        <w:t xml:space="preserve"> </w:t>
      </w:r>
      <w:r w:rsidRPr="00C56546">
        <w:rPr>
          <w:sz w:val="23"/>
          <w:szCs w:val="23"/>
        </w:rPr>
        <w:t xml:space="preserve">roku </w:t>
      </w:r>
      <w:r w:rsidR="00C56546" w:rsidRPr="00C56546">
        <w:rPr>
          <w:sz w:val="23"/>
          <w:szCs w:val="23"/>
        </w:rPr>
        <w:t xml:space="preserve"> </w:t>
      </w:r>
      <w:r w:rsidRPr="00C56546">
        <w:rPr>
          <w:sz w:val="23"/>
          <w:szCs w:val="23"/>
        </w:rPr>
        <w:t>„n” finansowania publicznego (938 000 zł), o której mowa w punkcie</w:t>
      </w:r>
      <w:r w:rsidR="00C56546">
        <w:rPr>
          <w:sz w:val="23"/>
          <w:szCs w:val="23"/>
        </w:rPr>
        <w:t xml:space="preserve"> </w:t>
      </w:r>
      <w:r w:rsidRPr="00C56546">
        <w:rPr>
          <w:sz w:val="23"/>
          <w:szCs w:val="23"/>
        </w:rPr>
        <w:t>VII, stanowi różnicę między wartością pomocy publicznej odpowiadającej rzeczywistej wartości kosztów kwalifikowalnych dla działalności gospodarczej w roku „n” (RFPDG</w:t>
      </w:r>
      <w:r w:rsidRPr="00C56546">
        <w:rPr>
          <w:sz w:val="23"/>
          <w:szCs w:val="23"/>
          <w:vertAlign w:val="subscript"/>
        </w:rPr>
        <w:t>n</w:t>
      </w:r>
      <w:r w:rsidRPr="00C56546">
        <w:rPr>
          <w:sz w:val="23"/>
          <w:szCs w:val="23"/>
        </w:rPr>
        <w:t>) a wartością rocznej alokacji pomocy publicznej dla działalności gospodarczej (RFPDG) wyliczonej zgodnie z pierwotnymi założeniami w projekcie.</w:t>
      </w:r>
    </w:p>
    <w:p w14:paraId="5F685AFA" w14:textId="77777777" w:rsidR="00E05D9F" w:rsidRDefault="00E05D9F">
      <w:pPr>
        <w:spacing w:line="190" w:lineRule="exact"/>
        <w:rPr>
          <w:rFonts w:ascii="Times New Roman" w:eastAsia="Times New Roman" w:hAnsi="Times New Roman"/>
        </w:rPr>
      </w:pPr>
    </w:p>
    <w:p w14:paraId="41770488" w14:textId="77777777" w:rsidR="00E05D9F" w:rsidRDefault="00E05D9F">
      <w:pPr>
        <w:spacing w:line="0" w:lineRule="atLeast"/>
        <w:ind w:left="8"/>
        <w:rPr>
          <w:b/>
          <w:sz w:val="27"/>
          <w:vertAlign w:val="subscript"/>
        </w:rPr>
      </w:pPr>
      <w:r>
        <w:rPr>
          <w:b/>
          <w:sz w:val="23"/>
        </w:rPr>
        <w:t>L</w:t>
      </w:r>
      <w:r>
        <w:rPr>
          <w:b/>
          <w:sz w:val="27"/>
          <w:vertAlign w:val="subscript"/>
        </w:rPr>
        <w:t>n</w:t>
      </w:r>
      <w:r>
        <w:rPr>
          <w:b/>
          <w:sz w:val="23"/>
        </w:rPr>
        <w:t xml:space="preserve"> = RFPDG</w:t>
      </w:r>
      <w:r>
        <w:rPr>
          <w:b/>
          <w:sz w:val="27"/>
          <w:vertAlign w:val="subscript"/>
        </w:rPr>
        <w:t>n</w:t>
      </w:r>
      <w:r>
        <w:rPr>
          <w:b/>
          <w:sz w:val="23"/>
        </w:rPr>
        <w:t xml:space="preserve"> – RFPDG = I</w:t>
      </w:r>
      <w:r>
        <w:rPr>
          <w:b/>
          <w:sz w:val="27"/>
          <w:vertAlign w:val="subscript"/>
        </w:rPr>
        <w:t>DG</w:t>
      </w:r>
      <w:r>
        <w:rPr>
          <w:b/>
          <w:sz w:val="23"/>
        </w:rPr>
        <w:t xml:space="preserve"> x RKDG</w:t>
      </w:r>
      <w:r>
        <w:rPr>
          <w:b/>
          <w:sz w:val="27"/>
          <w:vertAlign w:val="subscript"/>
        </w:rPr>
        <w:t>netto n</w:t>
      </w:r>
      <w:r>
        <w:rPr>
          <w:b/>
          <w:sz w:val="23"/>
        </w:rPr>
        <w:t xml:space="preserve"> - I</w:t>
      </w:r>
      <w:r>
        <w:rPr>
          <w:b/>
          <w:sz w:val="27"/>
          <w:vertAlign w:val="subscript"/>
        </w:rPr>
        <w:t>DG</w:t>
      </w:r>
      <w:r>
        <w:rPr>
          <w:b/>
          <w:sz w:val="23"/>
        </w:rPr>
        <w:t xml:space="preserve"> x RKDG</w:t>
      </w:r>
      <w:r>
        <w:rPr>
          <w:b/>
          <w:sz w:val="27"/>
          <w:vertAlign w:val="subscript"/>
        </w:rPr>
        <w:t>netto</w:t>
      </w:r>
    </w:p>
    <w:p w14:paraId="0DF5BBD6" w14:textId="77777777" w:rsidR="00E05D9F" w:rsidRDefault="00E05D9F">
      <w:pPr>
        <w:spacing w:line="196" w:lineRule="exact"/>
        <w:rPr>
          <w:rFonts w:ascii="Times New Roman" w:eastAsia="Times New Roman" w:hAnsi="Times New Roman"/>
        </w:rPr>
      </w:pPr>
    </w:p>
    <w:p w14:paraId="2733BFD5" w14:textId="77777777" w:rsidR="00E05D9F" w:rsidRDefault="00E05D9F">
      <w:pPr>
        <w:spacing w:line="0" w:lineRule="atLeast"/>
        <w:ind w:left="8"/>
        <w:rPr>
          <w:sz w:val="23"/>
        </w:rPr>
      </w:pPr>
      <w:r>
        <w:rPr>
          <w:sz w:val="23"/>
        </w:rPr>
        <w:t>L</w:t>
      </w:r>
      <w:r>
        <w:rPr>
          <w:sz w:val="27"/>
          <w:vertAlign w:val="subscript"/>
        </w:rPr>
        <w:t>n</w:t>
      </w:r>
      <w:r>
        <w:rPr>
          <w:sz w:val="23"/>
        </w:rPr>
        <w:t xml:space="preserve"> = 50% x 400 000 zł – 50% x 300 000 zł = 200 000 zł – 150 000 zł = 50 000 zł</w:t>
      </w:r>
    </w:p>
    <w:p w14:paraId="075325F9" w14:textId="77777777" w:rsidR="00E05D9F" w:rsidRDefault="00E05D9F">
      <w:pPr>
        <w:spacing w:line="295" w:lineRule="exact"/>
        <w:rPr>
          <w:rFonts w:ascii="Times New Roman" w:eastAsia="Times New Roman" w:hAnsi="Times New Roman"/>
        </w:rPr>
      </w:pPr>
    </w:p>
    <w:p w14:paraId="1BE481E6" w14:textId="77777777" w:rsidR="00E05D9F" w:rsidRDefault="00E05D9F">
      <w:pPr>
        <w:spacing w:line="241" w:lineRule="auto"/>
        <w:ind w:left="8"/>
        <w:jc w:val="both"/>
        <w:rPr>
          <w:sz w:val="23"/>
        </w:rPr>
      </w:pPr>
      <w:r>
        <w:rPr>
          <w:sz w:val="23"/>
        </w:rPr>
        <w:t xml:space="preserve">Jeżeli </w:t>
      </w:r>
      <w:r>
        <w:rPr>
          <w:sz w:val="23"/>
          <w:u w:val="single"/>
        </w:rPr>
        <w:t>legalizacja nie jest możliwa</w:t>
      </w:r>
      <w:r>
        <w:rPr>
          <w:sz w:val="23"/>
        </w:rPr>
        <w:t>, zwrotowi podlega część finansowania publicznego odpowiadająca skali ograniczenia udziału działalności niegospodarczej w danym roku (Z</w:t>
      </w:r>
      <w:r>
        <w:rPr>
          <w:sz w:val="27"/>
          <w:vertAlign w:val="subscript"/>
        </w:rPr>
        <w:t>n</w:t>
      </w:r>
      <w:r>
        <w:rPr>
          <w:sz w:val="23"/>
        </w:rPr>
        <w:t>). Wartość tę można wyliczyć jako różnicę między roczną alokacją finansowania publicznego działalności niegospodarczej (RFPDNG) a wartością finansowania publicznego działalności niegospodarczej w roku „n” (RFPDNG</w:t>
      </w:r>
      <w:r>
        <w:rPr>
          <w:sz w:val="27"/>
          <w:vertAlign w:val="subscript"/>
        </w:rPr>
        <w:t>n</w:t>
      </w:r>
      <w:r>
        <w:rPr>
          <w:sz w:val="23"/>
        </w:rPr>
        <w:t>), zredukowanego w wyniku zmniejszenia udziału działalności niegospodarczej. Wartość dofinansowania w części gospodarczej nie ulega zwiększeniu ze względu na brak legalizacji dodatkowej pomocy publicznej.</w:t>
      </w:r>
    </w:p>
    <w:p w14:paraId="28581020" w14:textId="77777777" w:rsidR="00E05D9F" w:rsidRDefault="00E05D9F">
      <w:pPr>
        <w:spacing w:line="187" w:lineRule="exact"/>
        <w:rPr>
          <w:rFonts w:ascii="Times New Roman" w:eastAsia="Times New Roman" w:hAnsi="Times New Roman"/>
        </w:rPr>
      </w:pPr>
    </w:p>
    <w:p w14:paraId="556F5E9C" w14:textId="77777777" w:rsidR="00E05D9F" w:rsidRDefault="00E05D9F">
      <w:pPr>
        <w:spacing w:line="0" w:lineRule="atLeast"/>
        <w:ind w:left="8"/>
        <w:rPr>
          <w:b/>
          <w:sz w:val="27"/>
          <w:vertAlign w:val="subscript"/>
        </w:rPr>
      </w:pPr>
      <w:r>
        <w:rPr>
          <w:b/>
          <w:sz w:val="23"/>
        </w:rPr>
        <w:t>Z</w:t>
      </w:r>
      <w:r>
        <w:rPr>
          <w:b/>
          <w:sz w:val="27"/>
          <w:vertAlign w:val="subscript"/>
        </w:rPr>
        <w:t>n</w:t>
      </w:r>
      <w:r>
        <w:rPr>
          <w:b/>
          <w:sz w:val="23"/>
        </w:rPr>
        <w:t xml:space="preserve"> = RFPDNG - RFPDNG</w:t>
      </w:r>
      <w:r>
        <w:rPr>
          <w:b/>
          <w:sz w:val="27"/>
          <w:vertAlign w:val="subscript"/>
        </w:rPr>
        <w:t>n</w:t>
      </w:r>
    </w:p>
    <w:p w14:paraId="2C8D6F59" w14:textId="77777777" w:rsidR="00E05D9F" w:rsidRDefault="00E05D9F">
      <w:pPr>
        <w:spacing w:line="223" w:lineRule="exact"/>
        <w:rPr>
          <w:rFonts w:ascii="Times New Roman" w:eastAsia="Times New Roman" w:hAnsi="Times New Roman"/>
        </w:rPr>
      </w:pPr>
    </w:p>
    <w:p w14:paraId="48F579A8" w14:textId="77777777" w:rsidR="00E05D9F" w:rsidRDefault="00E05D9F">
      <w:pPr>
        <w:spacing w:line="0" w:lineRule="atLeast"/>
        <w:ind w:left="8"/>
        <w:rPr>
          <w:sz w:val="23"/>
        </w:rPr>
      </w:pPr>
      <w:r>
        <w:rPr>
          <w:sz w:val="23"/>
        </w:rPr>
        <w:t>Wartość dofinansowania podlegającego zwrotowi:</w:t>
      </w:r>
    </w:p>
    <w:p w14:paraId="0C48F116" w14:textId="77777777" w:rsidR="00E05D9F" w:rsidRDefault="00E05D9F">
      <w:pPr>
        <w:spacing w:line="234" w:lineRule="auto"/>
        <w:ind w:left="8"/>
        <w:rPr>
          <w:sz w:val="23"/>
        </w:rPr>
      </w:pPr>
      <w:r>
        <w:rPr>
          <w:sz w:val="23"/>
        </w:rPr>
        <w:t>Z</w:t>
      </w:r>
      <w:r>
        <w:rPr>
          <w:sz w:val="27"/>
          <w:vertAlign w:val="subscript"/>
        </w:rPr>
        <w:t>n</w:t>
      </w:r>
      <w:r>
        <w:rPr>
          <w:sz w:val="23"/>
        </w:rPr>
        <w:t xml:space="preserve"> = 861 000 zł – 738 000 zł = 123 000 zł.</w:t>
      </w:r>
    </w:p>
    <w:p w14:paraId="65557E4E" w14:textId="77777777" w:rsidR="00E05D9F" w:rsidRDefault="00E05D9F">
      <w:pPr>
        <w:spacing w:line="224" w:lineRule="exact"/>
        <w:rPr>
          <w:rFonts w:ascii="Times New Roman" w:eastAsia="Times New Roman" w:hAnsi="Times New Roman"/>
        </w:rPr>
      </w:pPr>
    </w:p>
    <w:p w14:paraId="1BDB61B6" w14:textId="77777777" w:rsidR="00E05D9F" w:rsidRDefault="00E05D9F" w:rsidP="00FE1021">
      <w:pPr>
        <w:numPr>
          <w:ilvl w:val="0"/>
          <w:numId w:val="42"/>
        </w:numPr>
        <w:tabs>
          <w:tab w:val="left" w:pos="708"/>
        </w:tabs>
        <w:spacing w:line="0" w:lineRule="atLeast"/>
        <w:ind w:left="708" w:hanging="708"/>
        <w:rPr>
          <w:b/>
          <w:sz w:val="23"/>
        </w:rPr>
      </w:pPr>
      <w:r>
        <w:rPr>
          <w:b/>
          <w:sz w:val="23"/>
        </w:rPr>
        <w:t>kwalifikowalność VAT wynikająca ze struktury sprzedaży</w:t>
      </w:r>
    </w:p>
    <w:p w14:paraId="4A4041C2" w14:textId="77777777" w:rsidR="00E05D9F" w:rsidRDefault="00E05D9F">
      <w:pPr>
        <w:spacing w:line="286" w:lineRule="exact"/>
        <w:rPr>
          <w:rFonts w:ascii="Times New Roman" w:eastAsia="Times New Roman" w:hAnsi="Times New Roman"/>
        </w:rPr>
      </w:pPr>
    </w:p>
    <w:p w14:paraId="1E2783A0" w14:textId="77777777" w:rsidR="00E05D9F" w:rsidRDefault="00E05D9F" w:rsidP="00FE1021">
      <w:pPr>
        <w:numPr>
          <w:ilvl w:val="0"/>
          <w:numId w:val="43"/>
        </w:numPr>
        <w:tabs>
          <w:tab w:val="left" w:pos="263"/>
        </w:tabs>
        <w:spacing w:line="283" w:lineRule="auto"/>
        <w:ind w:left="8" w:right="20" w:hanging="8"/>
        <w:jc w:val="both"/>
        <w:rPr>
          <w:sz w:val="21"/>
        </w:rPr>
      </w:pPr>
      <w:r>
        <w:rPr>
          <w:sz w:val="21"/>
        </w:rPr>
        <w:t>zakresie, w jakim towary i usługi są wykorzystywane do wykonywania czynności opodatkowanych, podatnikowi przysługuje prawo do obniżenia kwoty podatku należnego o kwotę podatku naliczonego. Oznacza to, że nie jest możliwe dokonywanie odliczeń podatku naliczonego związanego z towarami i usługami, które nie są w ogóle wykorzystywane do czynności opodatkowanych (czyli wykorzystywanych do czynności zwolnionych od podatku lub niepodlegających opodatkowaniu VAT, jak np. czynności niespełniających kryteriów działalności gospodarczej).</w:t>
      </w:r>
    </w:p>
    <w:p w14:paraId="6CF143ED" w14:textId="77777777" w:rsidR="00E05D9F" w:rsidRDefault="00E05D9F">
      <w:pPr>
        <w:spacing w:line="243" w:lineRule="exact"/>
        <w:rPr>
          <w:rFonts w:ascii="Times New Roman" w:eastAsia="Times New Roman" w:hAnsi="Times New Roman"/>
        </w:rPr>
      </w:pPr>
    </w:p>
    <w:p w14:paraId="7EC7BAC7" w14:textId="77777777" w:rsidR="00E05D9F" w:rsidRDefault="00E05D9F">
      <w:pPr>
        <w:spacing w:line="257" w:lineRule="auto"/>
        <w:ind w:left="8"/>
        <w:jc w:val="both"/>
        <w:rPr>
          <w:sz w:val="23"/>
        </w:rPr>
      </w:pPr>
      <w:r>
        <w:rPr>
          <w:sz w:val="23"/>
        </w:rPr>
        <w:t xml:space="preserve">Zgodnie z art. 90 ust. 1 i 2 ustawy o podatku od towarów i usług, </w:t>
      </w:r>
      <w:r>
        <w:rPr>
          <w:i/>
          <w:sz w:val="23"/>
        </w:rPr>
        <w:t>w stosunku do towarów i usług, które są wykorzystywane przez podatnika do wykonywania czynności, w związku z którymi przysługuje prawo do obniżenia kwoty podatku należnego, jak i czynności, w związku z którymi takie prawo nie przysługuje, podatnik jest obowiązany do odrębnego określenia kwot podatku naliczonego związanych z czynnościami, w stosunku do których podatnikowi przysługuje prawo do obniżenia kwoty podatku należnego. Jeżeli jednak nie jest możliwe wyodrębnienie całości lub części takich kwot, podatnik może pomniejszyć kwotę podatku należnego o taką część kwoty podatku naliczonego, którą można proporcjonalnie przypisać czynnościom, w stosunku do</w:t>
      </w:r>
      <w:r w:rsidR="00C56546">
        <w:rPr>
          <w:i/>
          <w:sz w:val="23"/>
        </w:rPr>
        <w:t> </w:t>
      </w:r>
      <w:r>
        <w:rPr>
          <w:i/>
          <w:sz w:val="23"/>
        </w:rPr>
        <w:t>których podatnikowi przysługuje prawo do obniżenia kwoty podatku należnego</w:t>
      </w:r>
      <w:r>
        <w:rPr>
          <w:sz w:val="23"/>
        </w:rPr>
        <w:t>.</w:t>
      </w:r>
    </w:p>
    <w:p w14:paraId="4F5562D9" w14:textId="77777777" w:rsidR="00E05D9F" w:rsidRDefault="00E05D9F">
      <w:pPr>
        <w:spacing w:line="90" w:lineRule="exact"/>
        <w:rPr>
          <w:rFonts w:ascii="Times New Roman" w:eastAsia="Times New Roman" w:hAnsi="Times New Roman"/>
        </w:rPr>
      </w:pPr>
    </w:p>
    <w:p w14:paraId="19BDF0BB" w14:textId="77777777" w:rsidR="00E05D9F" w:rsidRDefault="00E05D9F">
      <w:pPr>
        <w:spacing w:line="0" w:lineRule="atLeast"/>
        <w:ind w:left="8868"/>
      </w:pPr>
      <w:r>
        <w:t>17</w:t>
      </w:r>
    </w:p>
    <w:p w14:paraId="26C8FDDE" w14:textId="77777777" w:rsidR="00E05D9F" w:rsidRDefault="00E05D9F">
      <w:pPr>
        <w:spacing w:line="0" w:lineRule="atLeast"/>
        <w:ind w:left="8868"/>
        <w:sectPr w:rsidR="00E05D9F" w:rsidSect="00F716F9">
          <w:pgSz w:w="11920" w:h="16845"/>
          <w:pgMar w:top="1354" w:right="1410" w:bottom="1440" w:left="1412" w:header="0" w:footer="68" w:gutter="0"/>
          <w:cols w:space="0" w:equalWidth="0">
            <w:col w:w="9088"/>
          </w:cols>
          <w:docGrid w:linePitch="360"/>
        </w:sectPr>
      </w:pPr>
    </w:p>
    <w:p w14:paraId="07BFEF84" w14:textId="77777777" w:rsidR="00E05D9F" w:rsidRDefault="00E05D9F">
      <w:pPr>
        <w:spacing w:line="13" w:lineRule="exact"/>
        <w:rPr>
          <w:rFonts w:ascii="Times New Roman" w:eastAsia="Times New Roman" w:hAnsi="Times New Roman"/>
        </w:rPr>
      </w:pPr>
      <w:bookmarkStart w:id="17" w:name="page18"/>
      <w:bookmarkEnd w:id="17"/>
    </w:p>
    <w:p w14:paraId="69544177" w14:textId="77777777" w:rsidR="00E05D9F" w:rsidRDefault="00E05D9F">
      <w:pPr>
        <w:spacing w:line="257" w:lineRule="auto"/>
        <w:ind w:left="8"/>
        <w:jc w:val="both"/>
        <w:rPr>
          <w:sz w:val="23"/>
        </w:rPr>
      </w:pPr>
      <w:r>
        <w:rPr>
          <w:sz w:val="23"/>
        </w:rPr>
        <w:t>Współczynnik do celów pomniejszenia kwoty podatku należnego (dalej: współczynnik sprzedaży) ustala się jako udział rocznego obrotu z tytułu czynności, w związku z którymi przysługuje prawo do obniżenia kwoty podatku należnego, w całkowitym obrocie uzyskanym z tytułu czynności, w</w:t>
      </w:r>
      <w:r w:rsidR="00C56546">
        <w:rPr>
          <w:sz w:val="23"/>
        </w:rPr>
        <w:t> </w:t>
      </w:r>
      <w:r>
        <w:rPr>
          <w:sz w:val="23"/>
        </w:rPr>
        <w:t>związku z którymi podatnikowi przysługuje prawo do obniżenia kwoty podatku należnego, oraz</w:t>
      </w:r>
      <w:r w:rsidR="00C56546">
        <w:rPr>
          <w:sz w:val="23"/>
        </w:rPr>
        <w:t> </w:t>
      </w:r>
      <w:r>
        <w:rPr>
          <w:sz w:val="23"/>
        </w:rPr>
        <w:t>czynności, w związku z którymi podatnikowi nie przysługuje takie prawo. Współczynnik sprzedaży określa się procentowo w stosunku rocznym na podstawie obrotu osiągniętego w roku poprzedzającym rok podatkowy, w odniesieniu do którego jest ustalany współczynnik.</w:t>
      </w:r>
    </w:p>
    <w:p w14:paraId="60605A01" w14:textId="77777777" w:rsidR="00E05D9F" w:rsidRDefault="00E05D9F">
      <w:pPr>
        <w:spacing w:line="267" w:lineRule="exact"/>
        <w:rPr>
          <w:rFonts w:ascii="Times New Roman" w:eastAsia="Times New Roman" w:hAnsi="Times New Roman"/>
        </w:rPr>
      </w:pPr>
    </w:p>
    <w:p w14:paraId="6B69C827" w14:textId="77777777" w:rsidR="00E05D9F" w:rsidRPr="00C56546" w:rsidRDefault="00E05D9F" w:rsidP="00C56546">
      <w:pPr>
        <w:spacing w:line="280" w:lineRule="auto"/>
        <w:ind w:left="8"/>
        <w:jc w:val="both"/>
        <w:rPr>
          <w:sz w:val="23"/>
          <w:szCs w:val="23"/>
        </w:rPr>
      </w:pPr>
      <w:r w:rsidRPr="00C56546">
        <w:rPr>
          <w:sz w:val="23"/>
          <w:szCs w:val="23"/>
        </w:rPr>
        <w:t>Podstawą określenia wartości dofinansowania dla całej infrastruktury w ramach projektu, w tym - intensywności pomocy publicznej, są koszty kwalifikowalne. Zasadniczo, w zakresie części niegospodarczej całość kosztów jest kwalifikowalna (przy założeniu że podatek VAT w tym wypadku nie jest odzyskiwalny). W przypadku części odpowiadającej działalności gospodarczej, VAT nie stanowi kosztu kwalifikowalnego, ponieważ jest możliwe odzyskanie go przez beneficjenta. Jednak</w:t>
      </w:r>
      <w:r w:rsidR="00C56546">
        <w:rPr>
          <w:sz w:val="23"/>
          <w:szCs w:val="23"/>
        </w:rPr>
        <w:t xml:space="preserve"> w </w:t>
      </w:r>
      <w:r w:rsidRPr="00C56546">
        <w:rPr>
          <w:sz w:val="23"/>
          <w:szCs w:val="23"/>
        </w:rPr>
        <w:t>przypadku przyjęcia metody rozliczania podatku VAT na podstawie struktury sprzedaży, struktura ta obowiązywać będzie w całym projekcie, nawet w części określonej we wniosku o dofinansowanie jako część przeznaczona do działalności niegospodarczej, co oznacza brak kwalifikowalności VAT w pełnej wysokości z tego typu działalności. W przypadku części projektu przeznaczonej do działalności gospodarczej dofinansowanie będzie przyznane nie tylko w odniesieniu do wartości netto, ale również do tej części podatku VAT, która będzie kwalifikowana w oparciu o strukturę sprzedaży.</w:t>
      </w:r>
    </w:p>
    <w:p w14:paraId="543080AB" w14:textId="77777777" w:rsidR="00E05D9F" w:rsidRDefault="00E05D9F">
      <w:pPr>
        <w:spacing w:line="243" w:lineRule="exact"/>
        <w:rPr>
          <w:rFonts w:ascii="Times New Roman" w:eastAsia="Times New Roman" w:hAnsi="Times New Roman"/>
        </w:rPr>
      </w:pPr>
    </w:p>
    <w:p w14:paraId="63C50DBD" w14:textId="77777777" w:rsidR="00E05D9F" w:rsidRDefault="00E05D9F">
      <w:pPr>
        <w:spacing w:line="224" w:lineRule="auto"/>
        <w:ind w:left="8"/>
        <w:jc w:val="both"/>
        <w:rPr>
          <w:sz w:val="23"/>
        </w:rPr>
      </w:pPr>
      <w:r>
        <w:rPr>
          <w:sz w:val="23"/>
        </w:rPr>
        <w:t>Wartość dopuszczalnego finansowania publicznego (FP) wyliczonego z wykorzystaniem współczynnika sprzedaży (</w:t>
      </w:r>
      <w:r>
        <w:rPr>
          <w:b/>
          <w:sz w:val="23"/>
        </w:rPr>
        <w:t>s</w:t>
      </w:r>
      <w:r>
        <w:rPr>
          <w:sz w:val="23"/>
        </w:rPr>
        <w:t>) wynosi więc (przy założeniu stawki podatku VAT na poziomie 23%):</w:t>
      </w:r>
    </w:p>
    <w:p w14:paraId="19AD01E6" w14:textId="77777777" w:rsidR="00E05D9F" w:rsidRDefault="00E05D9F">
      <w:pPr>
        <w:spacing w:line="187" w:lineRule="exact"/>
        <w:rPr>
          <w:rFonts w:ascii="Times New Roman" w:eastAsia="Times New Roman" w:hAnsi="Times New Roman"/>
        </w:rPr>
      </w:pPr>
    </w:p>
    <w:p w14:paraId="1D2EA029" w14:textId="77777777" w:rsidR="00E05D9F" w:rsidRPr="00C36DA5" w:rsidRDefault="00E05D9F">
      <w:pPr>
        <w:spacing w:line="0" w:lineRule="atLeast"/>
        <w:ind w:left="48"/>
        <w:rPr>
          <w:sz w:val="23"/>
          <w:lang w:val="en-US"/>
        </w:rPr>
      </w:pPr>
      <w:r w:rsidRPr="00C36DA5">
        <w:rPr>
          <w:b/>
          <w:sz w:val="23"/>
          <w:lang w:val="en-US"/>
        </w:rPr>
        <w:t>FP = I</w:t>
      </w:r>
      <w:r w:rsidRPr="00C36DA5">
        <w:rPr>
          <w:b/>
          <w:sz w:val="27"/>
          <w:vertAlign w:val="subscript"/>
          <w:lang w:val="en-US"/>
        </w:rPr>
        <w:t>DNG</w:t>
      </w:r>
      <w:r w:rsidRPr="00C36DA5">
        <w:rPr>
          <w:b/>
          <w:sz w:val="23"/>
          <w:lang w:val="en-US"/>
        </w:rPr>
        <w:t xml:space="preserve"> x (KDNG</w:t>
      </w:r>
      <w:r w:rsidRPr="00C36DA5">
        <w:rPr>
          <w:b/>
          <w:sz w:val="27"/>
          <w:vertAlign w:val="subscript"/>
          <w:lang w:val="en-US"/>
        </w:rPr>
        <w:t>brutto</w:t>
      </w:r>
      <w:r w:rsidRPr="00C36DA5">
        <w:rPr>
          <w:b/>
          <w:sz w:val="23"/>
          <w:lang w:val="en-US"/>
        </w:rPr>
        <w:t xml:space="preserve"> - s x 23% x KDNG</w:t>
      </w:r>
      <w:r w:rsidRPr="00C36DA5">
        <w:rPr>
          <w:b/>
          <w:sz w:val="27"/>
          <w:vertAlign w:val="subscript"/>
          <w:lang w:val="en-US"/>
        </w:rPr>
        <w:t>netto</w:t>
      </w:r>
      <w:r w:rsidRPr="00C36DA5">
        <w:rPr>
          <w:b/>
          <w:sz w:val="23"/>
          <w:lang w:val="en-US"/>
        </w:rPr>
        <w:t>) + I</w:t>
      </w:r>
      <w:r w:rsidRPr="00C36DA5">
        <w:rPr>
          <w:b/>
          <w:sz w:val="27"/>
          <w:vertAlign w:val="subscript"/>
          <w:lang w:val="en-US"/>
        </w:rPr>
        <w:t>DG</w:t>
      </w:r>
      <w:r w:rsidRPr="00C36DA5">
        <w:rPr>
          <w:b/>
          <w:sz w:val="23"/>
          <w:lang w:val="en-US"/>
        </w:rPr>
        <w:t xml:space="preserve"> x [KDG</w:t>
      </w:r>
      <w:r w:rsidRPr="00C36DA5">
        <w:rPr>
          <w:b/>
          <w:sz w:val="27"/>
          <w:vertAlign w:val="subscript"/>
          <w:lang w:val="en-US"/>
        </w:rPr>
        <w:t>netto</w:t>
      </w:r>
      <w:r w:rsidRPr="00C36DA5">
        <w:rPr>
          <w:b/>
          <w:sz w:val="23"/>
          <w:lang w:val="en-US"/>
        </w:rPr>
        <w:t xml:space="preserve"> + (100%-s) x 23% x KDG</w:t>
      </w:r>
      <w:r w:rsidRPr="00C36DA5">
        <w:rPr>
          <w:b/>
          <w:sz w:val="27"/>
          <w:vertAlign w:val="subscript"/>
          <w:lang w:val="en-US"/>
        </w:rPr>
        <w:t>netto]</w:t>
      </w:r>
      <w:r w:rsidRPr="00C36DA5">
        <w:rPr>
          <w:b/>
          <w:sz w:val="23"/>
          <w:lang w:val="en-US"/>
        </w:rPr>
        <w:t>]</w:t>
      </w:r>
      <w:r w:rsidRPr="00C36DA5">
        <w:rPr>
          <w:sz w:val="23"/>
          <w:lang w:val="en-US"/>
        </w:rPr>
        <w:t>.</w:t>
      </w:r>
    </w:p>
    <w:p w14:paraId="20C302F0" w14:textId="77777777" w:rsidR="00E05D9F" w:rsidRPr="00C36DA5" w:rsidRDefault="00E05D9F">
      <w:pPr>
        <w:spacing w:line="280" w:lineRule="exact"/>
        <w:rPr>
          <w:rFonts w:ascii="Times New Roman" w:eastAsia="Times New Roman" w:hAnsi="Times New Roman"/>
          <w:lang w:val="en-US"/>
        </w:rPr>
      </w:pPr>
    </w:p>
    <w:p w14:paraId="745473F2" w14:textId="77777777" w:rsidR="00E05D9F" w:rsidRDefault="00E05D9F">
      <w:pPr>
        <w:spacing w:line="249" w:lineRule="auto"/>
        <w:ind w:left="8"/>
        <w:jc w:val="both"/>
        <w:rPr>
          <w:sz w:val="23"/>
        </w:rPr>
      </w:pPr>
      <w:r>
        <w:rPr>
          <w:sz w:val="23"/>
        </w:rPr>
        <w:t>Uwzględniając zakładany okres monitorowania infrastruktury, oblicza się następnie roczną alokację finansowania publicznego (RFP), roczną alokację finansowania publicznego działalności gospodarczej (RFPDG), roczną alokację finansowania publicznego działalności niegospodarczej (RFPDNG) i kosztów działalności niegospodarczej (RKDNG) oraz gospodarczej (RKDG).</w:t>
      </w:r>
    </w:p>
    <w:p w14:paraId="66F1050C" w14:textId="77777777" w:rsidR="00E05D9F" w:rsidRDefault="00E05D9F">
      <w:pPr>
        <w:spacing w:line="220" w:lineRule="exact"/>
        <w:rPr>
          <w:rFonts w:ascii="Times New Roman" w:eastAsia="Times New Roman" w:hAnsi="Times New Roman"/>
        </w:rPr>
      </w:pPr>
    </w:p>
    <w:p w14:paraId="475B7A32" w14:textId="77777777" w:rsidR="00E05D9F" w:rsidRDefault="00E05D9F">
      <w:pPr>
        <w:spacing w:line="0" w:lineRule="atLeast"/>
        <w:ind w:left="8"/>
        <w:rPr>
          <w:sz w:val="23"/>
          <w:u w:val="single"/>
        </w:rPr>
      </w:pPr>
      <w:r>
        <w:rPr>
          <w:sz w:val="23"/>
          <w:u w:val="single"/>
        </w:rPr>
        <w:t>Przykład:</w:t>
      </w:r>
    </w:p>
    <w:p w14:paraId="1B6BAC07" w14:textId="77777777" w:rsidR="00E05D9F" w:rsidRDefault="00E05D9F">
      <w:pPr>
        <w:spacing w:line="285" w:lineRule="exact"/>
        <w:rPr>
          <w:rFonts w:ascii="Times New Roman" w:eastAsia="Times New Roman" w:hAnsi="Times New Roman"/>
        </w:rPr>
      </w:pPr>
    </w:p>
    <w:p w14:paraId="0CB3568C" w14:textId="77777777" w:rsidR="00E05D9F" w:rsidRDefault="00E05D9F">
      <w:pPr>
        <w:spacing w:line="239" w:lineRule="auto"/>
        <w:ind w:left="8"/>
        <w:jc w:val="both"/>
        <w:rPr>
          <w:sz w:val="23"/>
        </w:rPr>
      </w:pPr>
      <w:r>
        <w:rPr>
          <w:sz w:val="23"/>
        </w:rPr>
        <w:t>Przedsiębiorca otrzymał finansowanie publiczne na zakup/wytworzenie infrastruktury . Z opisu projektu i zawartej umowy wynika, że wydajność tej infrastruktury przewidziana corocznie na działalność gospodarczą nie będzie przekraczać 30%. Całkowite łączne koszty brutto infrastruktury wynoszą 12 300 000 zł (dla uproszczenia przyjęto jednolitą stawkę VAT - 23%), z czego wynika, że zakładane KDNG</w:t>
      </w:r>
      <w:r>
        <w:rPr>
          <w:sz w:val="27"/>
          <w:vertAlign w:val="subscript"/>
        </w:rPr>
        <w:t>brutto</w:t>
      </w:r>
      <w:r>
        <w:rPr>
          <w:sz w:val="23"/>
        </w:rPr>
        <w:t xml:space="preserve"> wynoszą 8 610 000 zł, a KDG</w:t>
      </w:r>
      <w:r>
        <w:rPr>
          <w:sz w:val="27"/>
          <w:vertAlign w:val="subscript"/>
        </w:rPr>
        <w:t>brutto</w:t>
      </w:r>
      <w:r>
        <w:rPr>
          <w:sz w:val="23"/>
        </w:rPr>
        <w:t xml:space="preserve"> – 3 690 000 zł, czyli KDNG</w:t>
      </w:r>
      <w:r>
        <w:rPr>
          <w:sz w:val="27"/>
          <w:vertAlign w:val="subscript"/>
        </w:rPr>
        <w:t>netto</w:t>
      </w:r>
      <w:r>
        <w:rPr>
          <w:sz w:val="23"/>
        </w:rPr>
        <w:t xml:space="preserve"> – 7 000 000 zł i KDG</w:t>
      </w:r>
      <w:r>
        <w:rPr>
          <w:sz w:val="27"/>
          <w:vertAlign w:val="subscript"/>
        </w:rPr>
        <w:t>netto</w:t>
      </w:r>
      <w:r>
        <w:rPr>
          <w:sz w:val="23"/>
        </w:rPr>
        <w:t xml:space="preserve"> – 3 000 000 zł.</w:t>
      </w:r>
    </w:p>
    <w:p w14:paraId="570BEFB5" w14:textId="77777777" w:rsidR="00E05D9F" w:rsidRDefault="00E05D9F">
      <w:pPr>
        <w:spacing w:line="226" w:lineRule="exact"/>
        <w:rPr>
          <w:rFonts w:ascii="Times New Roman" w:eastAsia="Times New Roman" w:hAnsi="Times New Roman"/>
        </w:rPr>
      </w:pPr>
    </w:p>
    <w:p w14:paraId="7FF7CB17" w14:textId="77777777" w:rsidR="00E05D9F" w:rsidRDefault="00E05D9F">
      <w:pPr>
        <w:spacing w:line="0" w:lineRule="atLeast"/>
        <w:ind w:left="8"/>
        <w:rPr>
          <w:sz w:val="23"/>
        </w:rPr>
      </w:pPr>
      <w:r>
        <w:rPr>
          <w:sz w:val="23"/>
        </w:rPr>
        <w:t>Ponieważ niemożliwe okazało się odrębne określenie kwot podatku naliczonego związanych</w:t>
      </w:r>
    </w:p>
    <w:p w14:paraId="6037377A" w14:textId="77777777" w:rsidR="00E05D9F" w:rsidRDefault="00E05D9F">
      <w:pPr>
        <w:spacing w:line="76" w:lineRule="exact"/>
        <w:rPr>
          <w:rFonts w:ascii="Times New Roman" w:eastAsia="Times New Roman" w:hAnsi="Times New Roman"/>
        </w:rPr>
      </w:pPr>
    </w:p>
    <w:p w14:paraId="4158228E" w14:textId="77777777" w:rsidR="00E05D9F" w:rsidRDefault="00E05D9F" w:rsidP="00FE1021">
      <w:pPr>
        <w:numPr>
          <w:ilvl w:val="0"/>
          <w:numId w:val="44"/>
        </w:numPr>
        <w:tabs>
          <w:tab w:val="left" w:pos="143"/>
        </w:tabs>
        <w:spacing w:line="280" w:lineRule="auto"/>
        <w:ind w:left="8" w:hanging="8"/>
        <w:jc w:val="both"/>
        <w:rPr>
          <w:sz w:val="21"/>
        </w:rPr>
      </w:pPr>
      <w:r>
        <w:rPr>
          <w:sz w:val="21"/>
        </w:rPr>
        <w:t>czynnościami, w stosunku do których przedsiębiorcy przysługuje prawo do obniżenia kwoty podatku należnego, przedsiębiorca korzysta z możliwości pomniejszenia kwoty podatku należnego o taką część kwoty podatku naliczonego, którą może proporcjonalnie przypisać czynnościom, w stosunku do których przysługuje mu prawo do obniżenia kwoty podatku należnego.</w:t>
      </w:r>
    </w:p>
    <w:p w14:paraId="6D327641" w14:textId="77777777" w:rsidR="00E05D9F" w:rsidRDefault="00E05D9F">
      <w:pPr>
        <w:spacing w:line="383" w:lineRule="exact"/>
        <w:rPr>
          <w:rFonts w:ascii="Times New Roman" w:eastAsia="Times New Roman" w:hAnsi="Times New Roman"/>
        </w:rPr>
      </w:pPr>
    </w:p>
    <w:p w14:paraId="43EF7F31" w14:textId="77777777" w:rsidR="00E05D9F" w:rsidRDefault="00E05D9F" w:rsidP="00C56546">
      <w:pPr>
        <w:spacing w:line="0" w:lineRule="atLeast"/>
        <w:ind w:left="8868"/>
        <w:sectPr w:rsidR="00E05D9F" w:rsidSect="00F716F9">
          <w:pgSz w:w="11920" w:h="16845"/>
          <w:pgMar w:top="1440" w:right="1410" w:bottom="1440" w:left="1412" w:header="0" w:footer="68" w:gutter="0"/>
          <w:cols w:space="0" w:equalWidth="0">
            <w:col w:w="9088"/>
          </w:cols>
          <w:docGrid w:linePitch="360"/>
        </w:sectPr>
      </w:pPr>
    </w:p>
    <w:p w14:paraId="55EF6413" w14:textId="77777777" w:rsidR="00E05D9F" w:rsidRDefault="00E05D9F" w:rsidP="00C56546">
      <w:pPr>
        <w:spacing w:line="230" w:lineRule="auto"/>
        <w:ind w:right="20"/>
        <w:jc w:val="both"/>
        <w:rPr>
          <w:sz w:val="23"/>
        </w:rPr>
      </w:pPr>
      <w:bookmarkStart w:id="18" w:name="page19"/>
      <w:bookmarkEnd w:id="18"/>
      <w:r>
        <w:rPr>
          <w:sz w:val="23"/>
        </w:rPr>
        <w:lastRenderedPageBreak/>
        <w:t>Współczynnik sprzedaży (s), w oparciu o który przedsiębiorca może odliczać podatek naliczony, zostanie określony w umowie o dofinansowanie w następujący sposób:</w:t>
      </w:r>
    </w:p>
    <w:p w14:paraId="5BDF0E9C" w14:textId="77777777" w:rsidR="00E05D9F" w:rsidRDefault="00E05D9F">
      <w:pPr>
        <w:spacing w:line="246" w:lineRule="exact"/>
        <w:rPr>
          <w:rFonts w:ascii="Times New Roman" w:eastAsia="Times New Roman" w:hAnsi="Times New Roman"/>
        </w:rPr>
      </w:pPr>
    </w:p>
    <w:p w14:paraId="17404B1E" w14:textId="77777777" w:rsidR="00E05D9F" w:rsidRDefault="00E05D9F" w:rsidP="00FE1021">
      <w:pPr>
        <w:numPr>
          <w:ilvl w:val="0"/>
          <w:numId w:val="45"/>
        </w:numPr>
        <w:tabs>
          <w:tab w:val="left" w:pos="708"/>
        </w:tabs>
        <w:spacing w:line="0" w:lineRule="atLeast"/>
        <w:ind w:left="708" w:hanging="708"/>
        <w:rPr>
          <w:rFonts w:ascii="Arial" w:eastAsia="Arial" w:hAnsi="Arial"/>
          <w:sz w:val="23"/>
        </w:rPr>
      </w:pPr>
      <w:r>
        <w:rPr>
          <w:sz w:val="23"/>
        </w:rPr>
        <w:t>sprzedaż zwolniona z opodatkowania za rok poprzedni wyniosła 27 000 000 zł</w:t>
      </w:r>
    </w:p>
    <w:p w14:paraId="188E8C93" w14:textId="77777777" w:rsidR="00E05D9F" w:rsidRDefault="00E05D9F">
      <w:pPr>
        <w:spacing w:line="34" w:lineRule="exact"/>
        <w:rPr>
          <w:rFonts w:ascii="Arial" w:eastAsia="Arial" w:hAnsi="Arial"/>
          <w:sz w:val="23"/>
        </w:rPr>
      </w:pPr>
    </w:p>
    <w:p w14:paraId="2FB3B29A" w14:textId="77777777" w:rsidR="00E05D9F" w:rsidRDefault="00E05D9F" w:rsidP="00FE1021">
      <w:pPr>
        <w:numPr>
          <w:ilvl w:val="0"/>
          <w:numId w:val="45"/>
        </w:numPr>
        <w:tabs>
          <w:tab w:val="left" w:pos="708"/>
        </w:tabs>
        <w:spacing w:line="0" w:lineRule="atLeast"/>
        <w:ind w:left="708" w:hanging="708"/>
        <w:rPr>
          <w:rFonts w:ascii="Arial" w:eastAsia="Arial" w:hAnsi="Arial"/>
          <w:sz w:val="23"/>
        </w:rPr>
      </w:pPr>
      <w:r>
        <w:rPr>
          <w:sz w:val="23"/>
        </w:rPr>
        <w:t>sprzedaż opodatkowana – 18 000 000 zł</w:t>
      </w:r>
    </w:p>
    <w:p w14:paraId="1BD79790" w14:textId="77777777" w:rsidR="00E05D9F" w:rsidRDefault="00E05D9F">
      <w:pPr>
        <w:spacing w:line="49" w:lineRule="exact"/>
        <w:rPr>
          <w:rFonts w:ascii="Arial" w:eastAsia="Arial" w:hAnsi="Arial"/>
          <w:sz w:val="23"/>
        </w:rPr>
      </w:pPr>
    </w:p>
    <w:p w14:paraId="38DE2C15" w14:textId="77777777" w:rsidR="00E05D9F" w:rsidRDefault="00E05D9F" w:rsidP="00FE1021">
      <w:pPr>
        <w:numPr>
          <w:ilvl w:val="0"/>
          <w:numId w:val="45"/>
        </w:numPr>
        <w:tabs>
          <w:tab w:val="left" w:pos="708"/>
        </w:tabs>
        <w:spacing w:line="0" w:lineRule="atLeast"/>
        <w:ind w:left="708" w:hanging="708"/>
        <w:rPr>
          <w:rFonts w:ascii="Arial" w:eastAsia="Arial" w:hAnsi="Arial"/>
          <w:sz w:val="23"/>
        </w:rPr>
      </w:pPr>
      <w:r>
        <w:rPr>
          <w:sz w:val="23"/>
        </w:rPr>
        <w:t>sprzedaż za rok poprzedni ogółem - 45 000 000 zł</w:t>
      </w:r>
    </w:p>
    <w:p w14:paraId="3E4DE105" w14:textId="77777777" w:rsidR="00E05D9F" w:rsidRDefault="00E05D9F">
      <w:pPr>
        <w:spacing w:line="34" w:lineRule="exact"/>
        <w:rPr>
          <w:rFonts w:ascii="Arial" w:eastAsia="Arial" w:hAnsi="Arial"/>
          <w:sz w:val="23"/>
        </w:rPr>
      </w:pPr>
    </w:p>
    <w:p w14:paraId="4CBE49EB" w14:textId="77777777" w:rsidR="00E05D9F" w:rsidRDefault="00E05D9F" w:rsidP="00FE1021">
      <w:pPr>
        <w:numPr>
          <w:ilvl w:val="0"/>
          <w:numId w:val="45"/>
        </w:numPr>
        <w:tabs>
          <w:tab w:val="left" w:pos="708"/>
        </w:tabs>
        <w:spacing w:line="0" w:lineRule="atLeast"/>
        <w:ind w:left="708" w:hanging="708"/>
        <w:rPr>
          <w:rFonts w:ascii="Arial" w:eastAsia="Arial" w:hAnsi="Arial"/>
          <w:sz w:val="23"/>
        </w:rPr>
      </w:pPr>
      <w:r>
        <w:rPr>
          <w:sz w:val="23"/>
        </w:rPr>
        <w:t>współczynnik sprzedaży (</w:t>
      </w:r>
      <w:r>
        <w:rPr>
          <w:b/>
          <w:sz w:val="23"/>
        </w:rPr>
        <w:t>s</w:t>
      </w:r>
      <w:r>
        <w:rPr>
          <w:sz w:val="23"/>
        </w:rPr>
        <w:t>) wyniesie: 18 000 000 zł : 45 000 000 zł = 0,4 = 40%.</w:t>
      </w:r>
    </w:p>
    <w:p w14:paraId="3B2692B0" w14:textId="77777777" w:rsidR="00E05D9F" w:rsidRDefault="00E05D9F">
      <w:pPr>
        <w:spacing w:line="286" w:lineRule="exact"/>
        <w:rPr>
          <w:rFonts w:ascii="Times New Roman" w:eastAsia="Times New Roman" w:hAnsi="Times New Roman"/>
        </w:rPr>
      </w:pPr>
    </w:p>
    <w:p w14:paraId="51D64D5E" w14:textId="77777777" w:rsidR="00E05D9F" w:rsidRDefault="00E05D9F">
      <w:pPr>
        <w:spacing w:line="251" w:lineRule="auto"/>
        <w:ind w:left="8" w:right="20"/>
        <w:jc w:val="both"/>
        <w:rPr>
          <w:sz w:val="21"/>
        </w:rPr>
      </w:pPr>
      <w:r>
        <w:rPr>
          <w:sz w:val="21"/>
        </w:rPr>
        <w:t>Wartość dopuszczalnego finansowania publicznego (przy założeniu intensywności pomocy publicznej na poziomie 50% i wsparcia niestanowiącego pomocy publicznej na poziomie 100%) wynosi:</w:t>
      </w:r>
    </w:p>
    <w:p w14:paraId="2562EA6A" w14:textId="77777777" w:rsidR="00E05D9F" w:rsidRDefault="00E05D9F">
      <w:pPr>
        <w:spacing w:line="274" w:lineRule="exact"/>
        <w:rPr>
          <w:rFonts w:ascii="Times New Roman" w:eastAsia="Times New Roman" w:hAnsi="Times New Roman"/>
        </w:rPr>
      </w:pPr>
    </w:p>
    <w:p w14:paraId="5EC7A120" w14:textId="77777777" w:rsidR="00E05D9F" w:rsidRDefault="00E05D9F">
      <w:pPr>
        <w:spacing w:line="230" w:lineRule="auto"/>
        <w:ind w:left="8"/>
        <w:jc w:val="both"/>
        <w:rPr>
          <w:sz w:val="23"/>
        </w:rPr>
      </w:pPr>
      <w:r>
        <w:rPr>
          <w:sz w:val="23"/>
        </w:rPr>
        <w:t>FP = 100% x (8 610 000 zł – 40% x 23% x 7 000 000 zł) + 50% x (3 000 000 zł + 60% x 23% x 3 000 000 zł) = 100% x 7 966 000 zł + 50% x 3 414 000 zł = 7 966 000 zł + 1 707 000 zł = 9 673 000 zł.</w:t>
      </w:r>
    </w:p>
    <w:p w14:paraId="2B7D2071" w14:textId="77777777" w:rsidR="00E05D9F" w:rsidRDefault="00E05D9F">
      <w:pPr>
        <w:spacing w:line="232" w:lineRule="exact"/>
        <w:rPr>
          <w:rFonts w:ascii="Times New Roman" w:eastAsia="Times New Roman" w:hAnsi="Times New Roman"/>
        </w:rPr>
      </w:pPr>
    </w:p>
    <w:p w14:paraId="7A526464" w14:textId="77777777" w:rsidR="00E05D9F" w:rsidRDefault="00E05D9F">
      <w:pPr>
        <w:spacing w:line="0" w:lineRule="atLeast"/>
        <w:ind w:left="8"/>
        <w:rPr>
          <w:sz w:val="23"/>
        </w:rPr>
      </w:pPr>
      <w:r>
        <w:rPr>
          <w:sz w:val="23"/>
        </w:rPr>
        <w:t>Roczna alokacja finansowania publicznego:</w:t>
      </w:r>
    </w:p>
    <w:p w14:paraId="45E24C42" w14:textId="77777777" w:rsidR="00E05D9F" w:rsidRDefault="00E05D9F">
      <w:pPr>
        <w:spacing w:line="19" w:lineRule="exact"/>
        <w:rPr>
          <w:rFonts w:ascii="Times New Roman" w:eastAsia="Times New Roman" w:hAnsi="Times New Roman"/>
        </w:rPr>
      </w:pPr>
    </w:p>
    <w:p w14:paraId="15946A9A" w14:textId="77777777" w:rsidR="00E05D9F" w:rsidRDefault="00E05D9F">
      <w:pPr>
        <w:spacing w:line="0" w:lineRule="atLeast"/>
        <w:ind w:left="8"/>
        <w:rPr>
          <w:sz w:val="23"/>
        </w:rPr>
      </w:pPr>
      <w:r>
        <w:rPr>
          <w:sz w:val="23"/>
        </w:rPr>
        <w:t>RFP = 1/10 x 9 673 000 zł = 967 300 zł.</w:t>
      </w:r>
    </w:p>
    <w:p w14:paraId="79CA5BA0" w14:textId="77777777" w:rsidR="00E05D9F" w:rsidRDefault="00E05D9F">
      <w:pPr>
        <w:spacing w:line="230" w:lineRule="exact"/>
        <w:rPr>
          <w:rFonts w:ascii="Times New Roman" w:eastAsia="Times New Roman" w:hAnsi="Times New Roman"/>
        </w:rPr>
      </w:pPr>
    </w:p>
    <w:p w14:paraId="632A067A" w14:textId="77777777" w:rsidR="00E05D9F" w:rsidRDefault="00E05D9F">
      <w:pPr>
        <w:spacing w:line="0" w:lineRule="atLeast"/>
        <w:ind w:left="8"/>
        <w:rPr>
          <w:sz w:val="23"/>
        </w:rPr>
      </w:pPr>
      <w:r>
        <w:rPr>
          <w:sz w:val="23"/>
        </w:rPr>
        <w:t>Roczna alokacja kosztów kwalifikowalnych brutto:</w:t>
      </w:r>
    </w:p>
    <w:p w14:paraId="5E47722D" w14:textId="77777777" w:rsidR="00E05D9F" w:rsidRDefault="00E05D9F">
      <w:pPr>
        <w:spacing w:line="234" w:lineRule="auto"/>
        <w:ind w:left="8"/>
        <w:rPr>
          <w:sz w:val="23"/>
        </w:rPr>
      </w:pPr>
      <w:r>
        <w:rPr>
          <w:sz w:val="23"/>
        </w:rPr>
        <w:t>RKK</w:t>
      </w:r>
      <w:r>
        <w:rPr>
          <w:sz w:val="27"/>
          <w:vertAlign w:val="subscript"/>
        </w:rPr>
        <w:t>bruttto</w:t>
      </w:r>
      <w:r>
        <w:rPr>
          <w:sz w:val="23"/>
        </w:rPr>
        <w:t xml:space="preserve"> = 1/10 x 12 300 000 zł = 1 230 000 zł.</w:t>
      </w:r>
    </w:p>
    <w:p w14:paraId="75F40BD9" w14:textId="77777777" w:rsidR="00E05D9F" w:rsidRDefault="00E05D9F">
      <w:pPr>
        <w:spacing w:line="280" w:lineRule="exact"/>
        <w:rPr>
          <w:rFonts w:ascii="Times New Roman" w:eastAsia="Times New Roman" w:hAnsi="Times New Roman"/>
        </w:rPr>
      </w:pPr>
    </w:p>
    <w:p w14:paraId="2E778C6D" w14:textId="77777777" w:rsidR="00E05D9F" w:rsidRDefault="00E05D9F">
      <w:pPr>
        <w:spacing w:line="254" w:lineRule="auto"/>
        <w:ind w:left="8"/>
        <w:jc w:val="both"/>
        <w:rPr>
          <w:sz w:val="23"/>
        </w:rPr>
      </w:pPr>
      <w:r>
        <w:rPr>
          <w:sz w:val="23"/>
        </w:rPr>
        <w:t>Po przyjęciu do użytkowania powstałej infrastruktury rozpoczyna się monitorowanie sposobu jej wykorzystania. W sytuacji gdy monitoring wykaże, iż w danym roku doszło do zmiany proporcji pomiędzy realizowaną działalnością gospodarczą (np. jej udział wzrósł do 35%) a niegospodarczą, konieczne jest wyliczenie kwoty dofinansowania podlegającej zwrotowi przez beneficjenta. Dodatkowej zmianie mógł ulec współczynnik sprzedaży (np. wzrósł do poziomu 50%). Na podstawie rzeczywistej, osiągniętej w danym roku proporcji wykorzystania infrastruktury dokonuje się obliczenia przypadających na ten rok (rok „n”) kosztów infrastruktury dla działalności gospodarczej oraz niegospodarczej, a następnie, uwzględniając nowy współczynnik sprzedaży, wylicza się - analogicznie do rachunku przedstawionego wcześniej - wartość finansowania publicznego odpowiadającego wartościom kosztów właściwych dla roku „n” (RFP</w:t>
      </w:r>
      <w:r>
        <w:rPr>
          <w:sz w:val="27"/>
          <w:vertAlign w:val="subscript"/>
        </w:rPr>
        <w:t>n</w:t>
      </w:r>
      <w:r>
        <w:rPr>
          <w:sz w:val="23"/>
        </w:rPr>
        <w:t>).</w:t>
      </w:r>
    </w:p>
    <w:p w14:paraId="3B531088" w14:textId="77777777" w:rsidR="00E05D9F" w:rsidRDefault="00E05D9F">
      <w:pPr>
        <w:spacing w:line="210" w:lineRule="exact"/>
        <w:rPr>
          <w:rFonts w:ascii="Times New Roman" w:eastAsia="Times New Roman" w:hAnsi="Times New Roman"/>
        </w:rPr>
      </w:pPr>
    </w:p>
    <w:p w14:paraId="7CAE1090" w14:textId="77777777" w:rsidR="00E05D9F" w:rsidRDefault="00E05D9F">
      <w:pPr>
        <w:spacing w:line="218" w:lineRule="auto"/>
        <w:ind w:left="8"/>
        <w:jc w:val="both"/>
        <w:rPr>
          <w:sz w:val="23"/>
        </w:rPr>
      </w:pPr>
      <w:r>
        <w:rPr>
          <w:sz w:val="23"/>
        </w:rPr>
        <w:t>W przykładzie RKDNG</w:t>
      </w:r>
      <w:r>
        <w:rPr>
          <w:sz w:val="27"/>
          <w:vertAlign w:val="subscript"/>
        </w:rPr>
        <w:t>brutto n</w:t>
      </w:r>
      <w:r>
        <w:rPr>
          <w:sz w:val="23"/>
        </w:rPr>
        <w:t xml:space="preserve"> wynoszą w roku „n” 799 500 zł (co stanowi 65% rocznej alokacji kosztów infrastruktury), a RKDG</w:t>
      </w:r>
      <w:r>
        <w:rPr>
          <w:sz w:val="27"/>
          <w:vertAlign w:val="subscript"/>
        </w:rPr>
        <w:t>brutto n</w:t>
      </w:r>
      <w:r>
        <w:rPr>
          <w:sz w:val="23"/>
        </w:rPr>
        <w:t xml:space="preserve"> – 430 500 zł (czyli 35% rocznej alokacji kosztów infrastruktury), a zatem: RKDNG</w:t>
      </w:r>
      <w:r>
        <w:rPr>
          <w:sz w:val="27"/>
          <w:vertAlign w:val="subscript"/>
        </w:rPr>
        <w:t>netto n</w:t>
      </w:r>
      <w:r>
        <w:rPr>
          <w:sz w:val="23"/>
        </w:rPr>
        <w:t xml:space="preserve"> – 650 000 zł, a RKDG</w:t>
      </w:r>
      <w:r>
        <w:rPr>
          <w:sz w:val="27"/>
          <w:vertAlign w:val="subscript"/>
        </w:rPr>
        <w:t>netto n</w:t>
      </w:r>
      <w:r>
        <w:rPr>
          <w:sz w:val="23"/>
        </w:rPr>
        <w:t xml:space="preserve"> – 350 000 zł.</w:t>
      </w:r>
    </w:p>
    <w:p w14:paraId="3CBE5861" w14:textId="77777777" w:rsidR="00E05D9F" w:rsidRDefault="00E05D9F">
      <w:pPr>
        <w:spacing w:line="226" w:lineRule="exact"/>
        <w:rPr>
          <w:rFonts w:ascii="Times New Roman" w:eastAsia="Times New Roman" w:hAnsi="Times New Roman"/>
        </w:rPr>
      </w:pPr>
    </w:p>
    <w:p w14:paraId="6D5142A6" w14:textId="77777777" w:rsidR="00E05D9F" w:rsidRDefault="00E05D9F">
      <w:pPr>
        <w:spacing w:line="0" w:lineRule="atLeast"/>
        <w:ind w:left="8"/>
        <w:rPr>
          <w:sz w:val="23"/>
        </w:rPr>
      </w:pPr>
      <w:r>
        <w:rPr>
          <w:sz w:val="23"/>
        </w:rPr>
        <w:t>Wartość dopuszczalnego w roku „n” finansowania publicznego jest równa:</w:t>
      </w:r>
    </w:p>
    <w:p w14:paraId="6176CA19" w14:textId="77777777" w:rsidR="00E05D9F" w:rsidRDefault="00E05D9F">
      <w:pPr>
        <w:spacing w:line="36" w:lineRule="exact"/>
        <w:rPr>
          <w:rFonts w:ascii="Times New Roman" w:eastAsia="Times New Roman" w:hAnsi="Times New Roman"/>
        </w:rPr>
      </w:pPr>
    </w:p>
    <w:p w14:paraId="2533FB39" w14:textId="77777777" w:rsidR="00E05D9F" w:rsidRDefault="00E05D9F">
      <w:pPr>
        <w:spacing w:line="227" w:lineRule="auto"/>
        <w:ind w:left="8" w:right="20"/>
        <w:jc w:val="both"/>
        <w:rPr>
          <w:sz w:val="23"/>
        </w:rPr>
      </w:pPr>
      <w:r>
        <w:rPr>
          <w:sz w:val="23"/>
        </w:rPr>
        <w:t>RFPDNG</w:t>
      </w:r>
      <w:r>
        <w:rPr>
          <w:sz w:val="27"/>
          <w:vertAlign w:val="subscript"/>
        </w:rPr>
        <w:t>n</w:t>
      </w:r>
      <w:r>
        <w:rPr>
          <w:sz w:val="23"/>
        </w:rPr>
        <w:t xml:space="preserve"> + RFPDG</w:t>
      </w:r>
      <w:r>
        <w:rPr>
          <w:sz w:val="27"/>
          <w:vertAlign w:val="subscript"/>
        </w:rPr>
        <w:t>n</w:t>
      </w:r>
      <w:r>
        <w:rPr>
          <w:sz w:val="23"/>
        </w:rPr>
        <w:t xml:space="preserve"> = 100% x (799 500 zł – 50% x 23% x 650 000 zł) + 50% x (350 000 zł + 50% x 23% x 350 000 zł) = 724 750 zł +195 125 zł = 919 875 zł.</w:t>
      </w:r>
    </w:p>
    <w:p w14:paraId="563980E3" w14:textId="77777777" w:rsidR="00E05D9F" w:rsidRDefault="00E05D9F">
      <w:pPr>
        <w:spacing w:line="234" w:lineRule="exact"/>
        <w:rPr>
          <w:rFonts w:ascii="Times New Roman" w:eastAsia="Times New Roman" w:hAnsi="Times New Roman"/>
        </w:rPr>
      </w:pPr>
    </w:p>
    <w:p w14:paraId="771273BB" w14:textId="77777777" w:rsidR="00E05D9F" w:rsidRPr="003718B0" w:rsidRDefault="00E05D9F" w:rsidP="00FE1021">
      <w:pPr>
        <w:numPr>
          <w:ilvl w:val="0"/>
          <w:numId w:val="46"/>
        </w:numPr>
        <w:tabs>
          <w:tab w:val="left" w:pos="248"/>
        </w:tabs>
        <w:spacing w:line="279" w:lineRule="auto"/>
        <w:ind w:left="8" w:hanging="8"/>
        <w:jc w:val="both"/>
        <w:rPr>
          <w:sz w:val="23"/>
          <w:szCs w:val="23"/>
        </w:rPr>
      </w:pPr>
      <w:r w:rsidRPr="003718B0">
        <w:rPr>
          <w:sz w:val="23"/>
          <w:szCs w:val="23"/>
        </w:rPr>
        <w:t xml:space="preserve">przypadku </w:t>
      </w:r>
      <w:r w:rsidRPr="003718B0">
        <w:rPr>
          <w:sz w:val="23"/>
          <w:szCs w:val="23"/>
          <w:u w:val="single"/>
        </w:rPr>
        <w:t>legalizacji pomocy publicznej,</w:t>
      </w:r>
      <w:r w:rsidRPr="003718B0">
        <w:rPr>
          <w:sz w:val="23"/>
          <w:szCs w:val="23"/>
        </w:rPr>
        <w:t xml:space="preserve"> należna do zwrotu wartość finansowania publicznego (Z</w:t>
      </w:r>
      <w:r w:rsidRPr="003718B0">
        <w:rPr>
          <w:sz w:val="23"/>
          <w:szCs w:val="23"/>
          <w:vertAlign w:val="subscript"/>
        </w:rPr>
        <w:t>n</w:t>
      </w:r>
      <w:r w:rsidRPr="003718B0">
        <w:rPr>
          <w:sz w:val="23"/>
          <w:szCs w:val="23"/>
        </w:rPr>
        <w:t xml:space="preserve">), wynikająca z naruszenia zakładanej w umowie o dofinansowanie proporcji między działalnością gospodarczą a niegospodarczą oraz różnic w proporcji odliczania podatku VAT, stanowi różnicę między roczną </w:t>
      </w:r>
      <w:r w:rsidR="00C56546" w:rsidRPr="003718B0">
        <w:rPr>
          <w:sz w:val="23"/>
          <w:szCs w:val="23"/>
        </w:rPr>
        <w:t xml:space="preserve">  </w:t>
      </w:r>
      <w:r w:rsidRPr="003718B0">
        <w:rPr>
          <w:sz w:val="23"/>
          <w:szCs w:val="23"/>
        </w:rPr>
        <w:t xml:space="preserve">alokacją </w:t>
      </w:r>
      <w:r w:rsidR="00C56546" w:rsidRPr="003718B0">
        <w:rPr>
          <w:sz w:val="23"/>
          <w:szCs w:val="23"/>
        </w:rPr>
        <w:t xml:space="preserve">  </w:t>
      </w:r>
      <w:r w:rsidRPr="003718B0">
        <w:rPr>
          <w:sz w:val="23"/>
          <w:szCs w:val="23"/>
        </w:rPr>
        <w:t xml:space="preserve">finansowania </w:t>
      </w:r>
      <w:r w:rsidR="00C56546" w:rsidRPr="003718B0">
        <w:rPr>
          <w:sz w:val="23"/>
          <w:szCs w:val="23"/>
        </w:rPr>
        <w:t xml:space="preserve">   </w:t>
      </w:r>
      <w:r w:rsidRPr="003718B0">
        <w:rPr>
          <w:sz w:val="23"/>
          <w:szCs w:val="23"/>
        </w:rPr>
        <w:t xml:space="preserve">publicznego </w:t>
      </w:r>
      <w:r w:rsidR="00C56546" w:rsidRPr="003718B0">
        <w:rPr>
          <w:sz w:val="23"/>
          <w:szCs w:val="23"/>
        </w:rPr>
        <w:t xml:space="preserve">  </w:t>
      </w:r>
      <w:r w:rsidRPr="003718B0">
        <w:rPr>
          <w:sz w:val="23"/>
          <w:szCs w:val="23"/>
        </w:rPr>
        <w:t>RFP</w:t>
      </w:r>
      <w:r w:rsidR="00C56546" w:rsidRPr="003718B0">
        <w:rPr>
          <w:sz w:val="23"/>
          <w:szCs w:val="23"/>
        </w:rPr>
        <w:t xml:space="preserve"> </w:t>
      </w:r>
      <w:r w:rsidRPr="003718B0">
        <w:rPr>
          <w:sz w:val="23"/>
          <w:szCs w:val="23"/>
        </w:rPr>
        <w:t xml:space="preserve"> a wartością finansowania publicznego, odpowiadającą</w:t>
      </w:r>
      <w:r w:rsidR="003718B0">
        <w:rPr>
          <w:sz w:val="23"/>
          <w:szCs w:val="23"/>
        </w:rPr>
        <w:t xml:space="preserve"> </w:t>
      </w:r>
      <w:r w:rsidRPr="003718B0">
        <w:rPr>
          <w:sz w:val="23"/>
          <w:szCs w:val="23"/>
        </w:rPr>
        <w:t xml:space="preserve">rzeczywistej, </w:t>
      </w:r>
      <w:r w:rsidR="00C56546" w:rsidRPr="003718B0">
        <w:rPr>
          <w:sz w:val="23"/>
          <w:szCs w:val="23"/>
        </w:rPr>
        <w:t xml:space="preserve">  </w:t>
      </w:r>
      <w:r w:rsidRPr="003718B0">
        <w:rPr>
          <w:sz w:val="23"/>
          <w:szCs w:val="23"/>
        </w:rPr>
        <w:t xml:space="preserve">zrealizowanej </w:t>
      </w:r>
      <w:r w:rsidR="00C56546" w:rsidRPr="003718B0">
        <w:rPr>
          <w:sz w:val="23"/>
          <w:szCs w:val="23"/>
        </w:rPr>
        <w:t xml:space="preserve">  </w:t>
      </w:r>
      <w:r w:rsidRPr="003718B0">
        <w:rPr>
          <w:sz w:val="23"/>
          <w:szCs w:val="23"/>
        </w:rPr>
        <w:t xml:space="preserve">w </w:t>
      </w:r>
      <w:r w:rsidR="00C56546" w:rsidRPr="003718B0">
        <w:rPr>
          <w:sz w:val="23"/>
          <w:szCs w:val="23"/>
        </w:rPr>
        <w:t xml:space="preserve">  </w:t>
      </w:r>
      <w:r w:rsidRPr="003718B0">
        <w:rPr>
          <w:sz w:val="23"/>
          <w:szCs w:val="23"/>
        </w:rPr>
        <w:t>roku</w:t>
      </w:r>
      <w:r w:rsidR="00C56546" w:rsidRPr="003718B0">
        <w:rPr>
          <w:sz w:val="23"/>
          <w:szCs w:val="23"/>
        </w:rPr>
        <w:t xml:space="preserve">  </w:t>
      </w:r>
      <w:r w:rsidRPr="003718B0">
        <w:rPr>
          <w:sz w:val="23"/>
          <w:szCs w:val="23"/>
        </w:rPr>
        <w:t xml:space="preserve"> „n” </w:t>
      </w:r>
      <w:r w:rsidR="00C56546" w:rsidRPr="003718B0">
        <w:rPr>
          <w:sz w:val="23"/>
          <w:szCs w:val="23"/>
        </w:rPr>
        <w:t xml:space="preserve">  </w:t>
      </w:r>
      <w:r w:rsidRPr="003718B0">
        <w:rPr>
          <w:sz w:val="23"/>
          <w:szCs w:val="23"/>
        </w:rPr>
        <w:t xml:space="preserve">proporcji </w:t>
      </w:r>
      <w:r w:rsidR="00C56546" w:rsidRPr="003718B0">
        <w:rPr>
          <w:sz w:val="23"/>
          <w:szCs w:val="23"/>
        </w:rPr>
        <w:t xml:space="preserve">  </w:t>
      </w:r>
      <w:r w:rsidRPr="003718B0">
        <w:rPr>
          <w:sz w:val="23"/>
          <w:szCs w:val="23"/>
        </w:rPr>
        <w:t>między działalnością gospodarczą i niegospodarczą</w:t>
      </w:r>
      <w:r w:rsidR="003718B0">
        <w:rPr>
          <w:sz w:val="23"/>
          <w:szCs w:val="23"/>
        </w:rPr>
        <w:t xml:space="preserve"> </w:t>
      </w:r>
      <w:r w:rsidRPr="003718B0">
        <w:rPr>
          <w:sz w:val="23"/>
          <w:szCs w:val="23"/>
        </w:rPr>
        <w:t>RFP</w:t>
      </w:r>
      <w:r w:rsidRPr="003718B0">
        <w:rPr>
          <w:sz w:val="23"/>
          <w:szCs w:val="23"/>
          <w:vertAlign w:val="subscript"/>
        </w:rPr>
        <w:t>n</w:t>
      </w:r>
      <w:r w:rsidRPr="003718B0">
        <w:rPr>
          <w:sz w:val="23"/>
          <w:szCs w:val="23"/>
        </w:rPr>
        <w:t>.</w:t>
      </w:r>
    </w:p>
    <w:p w14:paraId="19EEC306" w14:textId="77777777" w:rsidR="00E05D9F" w:rsidRDefault="00E05D9F">
      <w:pPr>
        <w:spacing w:line="283" w:lineRule="exact"/>
        <w:rPr>
          <w:rFonts w:ascii="Times New Roman" w:eastAsia="Times New Roman" w:hAnsi="Times New Roman"/>
        </w:rPr>
      </w:pPr>
    </w:p>
    <w:p w14:paraId="77BC7AD8" w14:textId="77777777" w:rsidR="00E05D9F" w:rsidRDefault="00E05D9F">
      <w:pPr>
        <w:spacing w:line="0" w:lineRule="atLeast"/>
        <w:ind w:left="8868"/>
      </w:pPr>
      <w:r>
        <w:t>19</w:t>
      </w:r>
    </w:p>
    <w:p w14:paraId="14C19D1E" w14:textId="77777777" w:rsidR="00E05D9F" w:rsidRDefault="00E05D9F">
      <w:pPr>
        <w:spacing w:line="0" w:lineRule="atLeast"/>
        <w:ind w:left="8868"/>
        <w:sectPr w:rsidR="00E05D9F" w:rsidSect="00F716F9">
          <w:pgSz w:w="11920" w:h="16845"/>
          <w:pgMar w:top="1440" w:right="1410" w:bottom="1440" w:left="1412" w:header="0" w:footer="68" w:gutter="0"/>
          <w:cols w:space="0" w:equalWidth="0">
            <w:col w:w="9088"/>
          </w:cols>
          <w:docGrid w:linePitch="360"/>
        </w:sectPr>
      </w:pPr>
    </w:p>
    <w:p w14:paraId="62B54A0F" w14:textId="77777777" w:rsidR="00E05D9F" w:rsidRDefault="00E05D9F">
      <w:pPr>
        <w:spacing w:line="0" w:lineRule="atLeast"/>
        <w:ind w:left="8"/>
        <w:rPr>
          <w:b/>
          <w:sz w:val="23"/>
        </w:rPr>
      </w:pPr>
      <w:bookmarkStart w:id="19" w:name="page20"/>
      <w:bookmarkEnd w:id="19"/>
      <w:r>
        <w:rPr>
          <w:b/>
          <w:sz w:val="23"/>
        </w:rPr>
        <w:lastRenderedPageBreak/>
        <w:t>Z</w:t>
      </w:r>
      <w:r>
        <w:rPr>
          <w:b/>
          <w:sz w:val="27"/>
          <w:vertAlign w:val="subscript"/>
        </w:rPr>
        <w:t>n</w:t>
      </w:r>
      <w:r>
        <w:rPr>
          <w:b/>
          <w:sz w:val="23"/>
        </w:rPr>
        <w:t xml:space="preserve"> = RFP – (RFPDNG</w:t>
      </w:r>
      <w:r>
        <w:rPr>
          <w:b/>
          <w:sz w:val="27"/>
          <w:vertAlign w:val="subscript"/>
        </w:rPr>
        <w:t>n</w:t>
      </w:r>
      <w:r>
        <w:rPr>
          <w:b/>
          <w:sz w:val="23"/>
        </w:rPr>
        <w:t xml:space="preserve"> + RFPDG</w:t>
      </w:r>
      <w:r>
        <w:rPr>
          <w:b/>
          <w:sz w:val="27"/>
          <w:vertAlign w:val="subscript"/>
        </w:rPr>
        <w:t>n</w:t>
      </w:r>
      <w:r>
        <w:rPr>
          <w:b/>
          <w:sz w:val="23"/>
        </w:rPr>
        <w:t>)</w:t>
      </w:r>
    </w:p>
    <w:p w14:paraId="5FE70A33" w14:textId="77777777" w:rsidR="00E05D9F" w:rsidRDefault="00E05D9F">
      <w:pPr>
        <w:spacing w:line="181" w:lineRule="exact"/>
        <w:rPr>
          <w:rFonts w:ascii="Times New Roman" w:eastAsia="Times New Roman" w:hAnsi="Times New Roman"/>
        </w:rPr>
      </w:pPr>
    </w:p>
    <w:p w14:paraId="3D7F1DD2" w14:textId="77777777" w:rsidR="00E05D9F" w:rsidRDefault="00E05D9F">
      <w:pPr>
        <w:spacing w:line="0" w:lineRule="atLeast"/>
        <w:ind w:left="8"/>
        <w:rPr>
          <w:sz w:val="23"/>
        </w:rPr>
      </w:pPr>
      <w:r>
        <w:rPr>
          <w:sz w:val="23"/>
        </w:rPr>
        <w:t>Z</w:t>
      </w:r>
      <w:r>
        <w:rPr>
          <w:sz w:val="27"/>
          <w:vertAlign w:val="subscript"/>
        </w:rPr>
        <w:t>n</w:t>
      </w:r>
      <w:r>
        <w:rPr>
          <w:sz w:val="23"/>
        </w:rPr>
        <w:t xml:space="preserve"> = 967 300 zł – 919 875 zł = 47 425 zł</w:t>
      </w:r>
    </w:p>
    <w:p w14:paraId="50A7CC37" w14:textId="77777777" w:rsidR="00E05D9F" w:rsidRDefault="00E05D9F">
      <w:pPr>
        <w:spacing w:line="225" w:lineRule="exact"/>
        <w:rPr>
          <w:rFonts w:ascii="Times New Roman" w:eastAsia="Times New Roman" w:hAnsi="Times New Roman"/>
        </w:rPr>
      </w:pPr>
    </w:p>
    <w:p w14:paraId="50524C65" w14:textId="77777777" w:rsidR="00E05D9F" w:rsidRDefault="00E05D9F">
      <w:pPr>
        <w:spacing w:line="244" w:lineRule="auto"/>
        <w:ind w:left="8"/>
        <w:jc w:val="both"/>
        <w:rPr>
          <w:sz w:val="23"/>
        </w:rPr>
      </w:pPr>
      <w:r>
        <w:rPr>
          <w:sz w:val="23"/>
        </w:rPr>
        <w:t>Wartość pomocy podlegającej legalizacji dla roku „n” (L</w:t>
      </w:r>
      <w:r>
        <w:rPr>
          <w:sz w:val="27"/>
          <w:vertAlign w:val="subscript"/>
        </w:rPr>
        <w:t>n</w:t>
      </w:r>
      <w:r>
        <w:rPr>
          <w:sz w:val="23"/>
        </w:rPr>
        <w:t>), ujętej w kwocie należnego w roku „n” finansowania publicznego (919 875 zł), o której mowa w punkcie VII, stanowi różnicę między wartością pomocy publicznej odpowiadającej rzeczywistej wartości kosztów kwalifikowalnych dla działalności gospodarczej w roku „n” (RFPDG</w:t>
      </w:r>
      <w:r>
        <w:rPr>
          <w:sz w:val="27"/>
          <w:vertAlign w:val="subscript"/>
        </w:rPr>
        <w:t>n</w:t>
      </w:r>
      <w:r>
        <w:rPr>
          <w:sz w:val="23"/>
        </w:rPr>
        <w:t xml:space="preserve"> = 195 125 zł) a wartością rocznej alokacji pomocy publicznej dla działalności gospodarczej (RFPDG = 170 700 zł).</w:t>
      </w:r>
    </w:p>
    <w:p w14:paraId="0049A68C" w14:textId="77777777" w:rsidR="00E05D9F" w:rsidRDefault="00E05D9F">
      <w:pPr>
        <w:spacing w:line="186" w:lineRule="exact"/>
        <w:rPr>
          <w:rFonts w:ascii="Times New Roman" w:eastAsia="Times New Roman" w:hAnsi="Times New Roman"/>
        </w:rPr>
      </w:pPr>
    </w:p>
    <w:p w14:paraId="2486F2E5" w14:textId="77777777" w:rsidR="00E05D9F" w:rsidRDefault="00E05D9F">
      <w:pPr>
        <w:spacing w:line="0" w:lineRule="atLeast"/>
        <w:ind w:left="8"/>
        <w:rPr>
          <w:b/>
          <w:sz w:val="23"/>
        </w:rPr>
      </w:pPr>
      <w:r>
        <w:rPr>
          <w:b/>
          <w:sz w:val="23"/>
        </w:rPr>
        <w:t>L</w:t>
      </w:r>
      <w:r>
        <w:rPr>
          <w:b/>
          <w:sz w:val="27"/>
          <w:vertAlign w:val="subscript"/>
        </w:rPr>
        <w:t>n</w:t>
      </w:r>
      <w:r>
        <w:rPr>
          <w:b/>
          <w:sz w:val="23"/>
        </w:rPr>
        <w:t xml:space="preserve"> = RFPDG</w:t>
      </w:r>
      <w:r>
        <w:rPr>
          <w:b/>
          <w:sz w:val="27"/>
          <w:vertAlign w:val="subscript"/>
        </w:rPr>
        <w:t>n</w:t>
      </w:r>
      <w:r>
        <w:rPr>
          <w:b/>
          <w:sz w:val="23"/>
        </w:rPr>
        <w:t xml:space="preserve"> – RFPDG</w:t>
      </w:r>
    </w:p>
    <w:p w14:paraId="68211135" w14:textId="77777777" w:rsidR="00E05D9F" w:rsidRDefault="00E05D9F">
      <w:pPr>
        <w:spacing w:line="181" w:lineRule="exact"/>
        <w:rPr>
          <w:rFonts w:ascii="Times New Roman" w:eastAsia="Times New Roman" w:hAnsi="Times New Roman"/>
        </w:rPr>
      </w:pPr>
    </w:p>
    <w:p w14:paraId="579E1A8F" w14:textId="77777777" w:rsidR="00E05D9F" w:rsidRDefault="00E05D9F">
      <w:pPr>
        <w:spacing w:line="0" w:lineRule="atLeast"/>
        <w:ind w:left="8"/>
        <w:rPr>
          <w:sz w:val="23"/>
        </w:rPr>
      </w:pPr>
      <w:r>
        <w:rPr>
          <w:sz w:val="23"/>
        </w:rPr>
        <w:t>L</w:t>
      </w:r>
      <w:r>
        <w:rPr>
          <w:sz w:val="27"/>
          <w:vertAlign w:val="subscript"/>
        </w:rPr>
        <w:t>n</w:t>
      </w:r>
      <w:r>
        <w:rPr>
          <w:sz w:val="23"/>
        </w:rPr>
        <w:t xml:space="preserve"> = 195 125 zł – 170 700 zł = 24 425 zł</w:t>
      </w:r>
    </w:p>
    <w:p w14:paraId="676DC6E6" w14:textId="77777777" w:rsidR="00E05D9F" w:rsidRDefault="00E05D9F">
      <w:pPr>
        <w:spacing w:line="265" w:lineRule="exact"/>
        <w:rPr>
          <w:rFonts w:ascii="Times New Roman" w:eastAsia="Times New Roman" w:hAnsi="Times New Roman"/>
        </w:rPr>
      </w:pPr>
    </w:p>
    <w:p w14:paraId="7974556B" w14:textId="77777777" w:rsidR="00E05D9F" w:rsidRDefault="00E05D9F">
      <w:pPr>
        <w:spacing w:line="243" w:lineRule="auto"/>
        <w:ind w:left="8"/>
        <w:jc w:val="both"/>
        <w:rPr>
          <w:sz w:val="23"/>
        </w:rPr>
      </w:pPr>
      <w:r>
        <w:rPr>
          <w:sz w:val="23"/>
        </w:rPr>
        <w:t xml:space="preserve">Jeżeli </w:t>
      </w:r>
      <w:r>
        <w:rPr>
          <w:sz w:val="23"/>
          <w:u w:val="single"/>
        </w:rPr>
        <w:t>legalizacja nie jest możliwa</w:t>
      </w:r>
      <w:r>
        <w:rPr>
          <w:sz w:val="23"/>
        </w:rPr>
        <w:t>, zwrotowi podlega część finansowania publicznego odpowiadająca skali ograniczenia udziału działalności niegospodarczej w danym roku (Z</w:t>
      </w:r>
      <w:r>
        <w:rPr>
          <w:sz w:val="27"/>
          <w:vertAlign w:val="subscript"/>
        </w:rPr>
        <w:t>n</w:t>
      </w:r>
      <w:r>
        <w:rPr>
          <w:sz w:val="23"/>
        </w:rPr>
        <w:t>). Wartość tę można wyliczyć jako różnicę między roczną alokacją finansowania publicznego działalności niegospodarczej (RFPDNG) a wartością finansowania publicznego działalności niegospodarczej w roku „n” (RFPDNG</w:t>
      </w:r>
      <w:r>
        <w:rPr>
          <w:sz w:val="27"/>
          <w:vertAlign w:val="subscript"/>
        </w:rPr>
        <w:t>n</w:t>
      </w:r>
      <w:r>
        <w:rPr>
          <w:sz w:val="23"/>
        </w:rPr>
        <w:t>, zredukowanego w wyniku zmniejszenia udziału działalności niegospodarczej). Wartość dofinansowania w części gospodarczej nie ulega zwiększeniu ze względu na brak legalizacji dodatkowej pomocy publicznej.</w:t>
      </w:r>
    </w:p>
    <w:p w14:paraId="7EFDF157" w14:textId="77777777" w:rsidR="00E05D9F" w:rsidRDefault="00E05D9F">
      <w:pPr>
        <w:spacing w:line="184" w:lineRule="exact"/>
        <w:rPr>
          <w:rFonts w:ascii="Times New Roman" w:eastAsia="Times New Roman" w:hAnsi="Times New Roman"/>
        </w:rPr>
      </w:pPr>
    </w:p>
    <w:p w14:paraId="6F208007" w14:textId="77777777" w:rsidR="00E05D9F" w:rsidRDefault="00E05D9F">
      <w:pPr>
        <w:spacing w:line="0" w:lineRule="atLeast"/>
        <w:ind w:left="8"/>
        <w:rPr>
          <w:b/>
          <w:sz w:val="27"/>
          <w:vertAlign w:val="subscript"/>
        </w:rPr>
      </w:pPr>
      <w:r>
        <w:rPr>
          <w:b/>
          <w:sz w:val="23"/>
        </w:rPr>
        <w:t>Z</w:t>
      </w:r>
      <w:r>
        <w:rPr>
          <w:b/>
          <w:sz w:val="27"/>
          <w:vertAlign w:val="subscript"/>
        </w:rPr>
        <w:t>n</w:t>
      </w:r>
      <w:r>
        <w:rPr>
          <w:b/>
          <w:sz w:val="23"/>
        </w:rPr>
        <w:t xml:space="preserve"> = RFPDNG - RFPDNG</w:t>
      </w:r>
      <w:r>
        <w:rPr>
          <w:b/>
          <w:sz w:val="27"/>
          <w:vertAlign w:val="subscript"/>
        </w:rPr>
        <w:t>n</w:t>
      </w:r>
    </w:p>
    <w:p w14:paraId="4CDC7C43" w14:textId="77777777" w:rsidR="00E05D9F" w:rsidRDefault="00E05D9F">
      <w:pPr>
        <w:spacing w:line="224" w:lineRule="exact"/>
        <w:rPr>
          <w:rFonts w:ascii="Times New Roman" w:eastAsia="Times New Roman" w:hAnsi="Times New Roman"/>
        </w:rPr>
      </w:pPr>
    </w:p>
    <w:p w14:paraId="4197E996" w14:textId="77777777" w:rsidR="00E05D9F" w:rsidRDefault="00E05D9F">
      <w:pPr>
        <w:spacing w:line="0" w:lineRule="atLeast"/>
        <w:ind w:left="8"/>
        <w:rPr>
          <w:sz w:val="23"/>
        </w:rPr>
      </w:pPr>
      <w:r>
        <w:rPr>
          <w:sz w:val="23"/>
        </w:rPr>
        <w:t>Wartość dofinansowania podlegająca zwrotowi:</w:t>
      </w:r>
    </w:p>
    <w:p w14:paraId="7BE8F1C3" w14:textId="77777777" w:rsidR="00E05D9F" w:rsidRDefault="00E05D9F">
      <w:pPr>
        <w:spacing w:line="222" w:lineRule="auto"/>
        <w:ind w:left="8"/>
        <w:rPr>
          <w:sz w:val="23"/>
        </w:rPr>
      </w:pPr>
      <w:r>
        <w:rPr>
          <w:sz w:val="23"/>
        </w:rPr>
        <w:t>Z</w:t>
      </w:r>
      <w:r>
        <w:rPr>
          <w:sz w:val="27"/>
          <w:vertAlign w:val="subscript"/>
        </w:rPr>
        <w:t>n</w:t>
      </w:r>
      <w:r>
        <w:rPr>
          <w:sz w:val="23"/>
        </w:rPr>
        <w:t xml:space="preserve"> = 796 600 zł – 724 750 zł = 71 850 zł.</w:t>
      </w:r>
    </w:p>
    <w:p w14:paraId="328FB09D" w14:textId="77777777" w:rsidR="00E05D9F" w:rsidRDefault="00E05D9F">
      <w:pPr>
        <w:spacing w:line="200" w:lineRule="exact"/>
        <w:rPr>
          <w:rFonts w:ascii="Times New Roman" w:eastAsia="Times New Roman" w:hAnsi="Times New Roman"/>
        </w:rPr>
      </w:pPr>
    </w:p>
    <w:p w14:paraId="4D774ABB" w14:textId="77777777" w:rsidR="00E05D9F" w:rsidRDefault="00E05D9F">
      <w:pPr>
        <w:spacing w:line="200" w:lineRule="exact"/>
        <w:rPr>
          <w:rFonts w:ascii="Times New Roman" w:eastAsia="Times New Roman" w:hAnsi="Times New Roman"/>
        </w:rPr>
      </w:pPr>
    </w:p>
    <w:p w14:paraId="747ABDA6" w14:textId="77777777" w:rsidR="00E05D9F" w:rsidRDefault="00E05D9F">
      <w:pPr>
        <w:spacing w:line="380" w:lineRule="exact"/>
        <w:rPr>
          <w:rFonts w:ascii="Times New Roman" w:eastAsia="Times New Roman" w:hAnsi="Times New Roman"/>
        </w:rPr>
      </w:pPr>
    </w:p>
    <w:p w14:paraId="23CA81B7" w14:textId="77777777" w:rsidR="00E05D9F" w:rsidRDefault="00E05D9F">
      <w:pPr>
        <w:tabs>
          <w:tab w:val="left" w:pos="688"/>
        </w:tabs>
        <w:spacing w:line="0" w:lineRule="atLeast"/>
        <w:ind w:left="8"/>
        <w:rPr>
          <w:b/>
          <w:sz w:val="23"/>
        </w:rPr>
      </w:pPr>
      <w:r>
        <w:rPr>
          <w:b/>
          <w:sz w:val="23"/>
        </w:rPr>
        <w:t>VII.</w:t>
      </w:r>
      <w:r>
        <w:rPr>
          <w:rFonts w:ascii="Times New Roman" w:eastAsia="Times New Roman" w:hAnsi="Times New Roman"/>
        </w:rPr>
        <w:tab/>
      </w:r>
      <w:r>
        <w:rPr>
          <w:b/>
          <w:sz w:val="23"/>
        </w:rPr>
        <w:t>Legalizacja pomocy publicznej</w:t>
      </w:r>
    </w:p>
    <w:p w14:paraId="2ADF1F6D" w14:textId="77777777" w:rsidR="00E05D9F" w:rsidRDefault="00E05D9F">
      <w:pPr>
        <w:spacing w:line="151" w:lineRule="exact"/>
        <w:rPr>
          <w:rFonts w:ascii="Times New Roman" w:eastAsia="Times New Roman" w:hAnsi="Times New Roman"/>
        </w:rPr>
      </w:pPr>
    </w:p>
    <w:p w14:paraId="4CC5592F" w14:textId="77777777" w:rsidR="00E05D9F" w:rsidRDefault="00E05D9F" w:rsidP="00FE1021">
      <w:pPr>
        <w:numPr>
          <w:ilvl w:val="0"/>
          <w:numId w:val="47"/>
        </w:numPr>
        <w:tabs>
          <w:tab w:val="left" w:pos="248"/>
        </w:tabs>
        <w:spacing w:line="257" w:lineRule="auto"/>
        <w:ind w:left="8" w:hanging="8"/>
        <w:jc w:val="both"/>
        <w:rPr>
          <w:sz w:val="23"/>
        </w:rPr>
      </w:pPr>
      <w:r>
        <w:rPr>
          <w:sz w:val="23"/>
        </w:rPr>
        <w:t>przypadku zwiększenia zakresu prowadzonej działalności gospodarczej – powyżej 20% w przypadku, gdy dofinansowanie projektu nie stanowiło w ogóle pomocy publicznej (tj. w przypadku, gdy w umowie o dofinansowanie projektu nie założono w ogóle prowadzenia działalności gospodarczej na dofinansowanej infrastrukturze albo założono wystąpienie wyłącznie pomocniczego charakteru działalności gospodarczej nieprzekraczającej 20%) albo gdy stosunek działalności gospodarczej do działalności niegospodarczej wzrósł ponad proporcję określoną w umowie o dofinansowanie, poza dokonaniem zwrotu części dofinansowania konieczne jest dokonanie legalizacji pomocy publicznej, która nie będzie podlegać zwrotowi.</w:t>
      </w:r>
    </w:p>
    <w:p w14:paraId="49FB4FF1" w14:textId="77777777" w:rsidR="00E05D9F" w:rsidRDefault="00E05D9F">
      <w:pPr>
        <w:spacing w:line="267" w:lineRule="exact"/>
        <w:rPr>
          <w:rFonts w:ascii="Times New Roman" w:eastAsia="Times New Roman" w:hAnsi="Times New Roman"/>
        </w:rPr>
      </w:pPr>
    </w:p>
    <w:p w14:paraId="4936B1A8" w14:textId="77777777" w:rsidR="00E05D9F" w:rsidRPr="00911712" w:rsidRDefault="00E05D9F" w:rsidP="00FE1021">
      <w:pPr>
        <w:numPr>
          <w:ilvl w:val="0"/>
          <w:numId w:val="48"/>
        </w:numPr>
        <w:tabs>
          <w:tab w:val="left" w:pos="293"/>
        </w:tabs>
        <w:spacing w:line="280" w:lineRule="auto"/>
        <w:ind w:left="8" w:hanging="8"/>
        <w:jc w:val="both"/>
        <w:rPr>
          <w:sz w:val="23"/>
          <w:szCs w:val="23"/>
        </w:rPr>
        <w:sectPr w:rsidR="00E05D9F" w:rsidRPr="00911712" w:rsidSect="00F716F9">
          <w:pgSz w:w="11920" w:h="16845"/>
          <w:pgMar w:top="1354" w:right="1410" w:bottom="1440" w:left="1412" w:header="0" w:footer="68" w:gutter="0"/>
          <w:cols w:space="0" w:equalWidth="0">
            <w:col w:w="9088"/>
          </w:cols>
          <w:docGrid w:linePitch="360"/>
        </w:sectPr>
      </w:pPr>
      <w:r w:rsidRPr="00911712">
        <w:rPr>
          <w:sz w:val="23"/>
          <w:szCs w:val="23"/>
        </w:rPr>
        <w:t xml:space="preserve">przypadku zaistnienia potrzeby zalegalizowania pomocy publicznej, konieczne jest opracowanie odpowiedniego aneksu do umowy o dofinansowanie. Legalizacja pomocy publicznej udzielanej w związku z gospodarczym wykorzystaniem infrastruktury w przypadku infrastruktury, w odniesieniu do której w ogóle nie przewidziano jej gospodarczego wykorzystania, stanowić będzie pomoc </w:t>
      </w:r>
      <w:r w:rsidRPr="00911712">
        <w:rPr>
          <w:i/>
          <w:sz w:val="23"/>
          <w:szCs w:val="23"/>
        </w:rPr>
        <w:t>ad hoc</w:t>
      </w:r>
      <w:r w:rsidRPr="00911712">
        <w:rPr>
          <w:sz w:val="23"/>
          <w:szCs w:val="23"/>
        </w:rPr>
        <w:t xml:space="preserve"> i będzie dokonywana bezpośrednio na podstawie art. 26 rozporządzenia 651/2014. W związku z tym, podmiot dokonujący legalizacji pomocy będzie zobowiązany do zgłoszenia pomocy do Urzędu Ochrony</w:t>
      </w:r>
      <w:r w:rsidR="00911712">
        <w:rPr>
          <w:sz w:val="23"/>
          <w:szCs w:val="23"/>
        </w:rPr>
        <w:t xml:space="preserve"> </w:t>
      </w:r>
      <w:r w:rsidRPr="00911712">
        <w:rPr>
          <w:sz w:val="23"/>
          <w:szCs w:val="23"/>
        </w:rPr>
        <w:t>Konkurencji i</w:t>
      </w:r>
      <w:r w:rsidR="00911712">
        <w:rPr>
          <w:sz w:val="23"/>
          <w:szCs w:val="23"/>
        </w:rPr>
        <w:t xml:space="preserve">                  </w:t>
      </w:r>
      <w:r w:rsidRPr="00911712">
        <w:rPr>
          <w:sz w:val="23"/>
          <w:szCs w:val="23"/>
        </w:rPr>
        <w:t>Konsumentów,</w:t>
      </w:r>
      <w:r w:rsidR="00911712">
        <w:rPr>
          <w:sz w:val="23"/>
          <w:szCs w:val="23"/>
        </w:rPr>
        <w:t xml:space="preserve">     </w:t>
      </w:r>
      <w:r w:rsidRPr="00911712">
        <w:rPr>
          <w:sz w:val="23"/>
          <w:szCs w:val="23"/>
        </w:rPr>
        <w:t>z</w:t>
      </w:r>
      <w:r w:rsidR="00911712">
        <w:rPr>
          <w:sz w:val="23"/>
          <w:szCs w:val="23"/>
        </w:rPr>
        <w:t xml:space="preserve">      </w:t>
      </w:r>
      <w:r w:rsidRPr="00911712">
        <w:rPr>
          <w:sz w:val="23"/>
          <w:szCs w:val="23"/>
        </w:rPr>
        <w:t xml:space="preserve">wykorzystaniem </w:t>
      </w:r>
      <w:r w:rsidR="00911712">
        <w:rPr>
          <w:sz w:val="23"/>
          <w:szCs w:val="23"/>
        </w:rPr>
        <w:t xml:space="preserve">   </w:t>
      </w:r>
      <w:r w:rsidRPr="00911712">
        <w:rPr>
          <w:sz w:val="23"/>
          <w:szCs w:val="23"/>
        </w:rPr>
        <w:t xml:space="preserve"> formularza</w:t>
      </w:r>
      <w:r w:rsidRPr="00911712">
        <w:rPr>
          <w:sz w:val="23"/>
          <w:szCs w:val="23"/>
        </w:rPr>
        <w:tab/>
      </w:r>
      <w:r w:rsidR="00911712">
        <w:rPr>
          <w:sz w:val="23"/>
          <w:szCs w:val="23"/>
        </w:rPr>
        <w:t xml:space="preserve">  </w:t>
      </w:r>
      <w:r w:rsidRPr="00911712">
        <w:rPr>
          <w:sz w:val="23"/>
          <w:szCs w:val="23"/>
        </w:rPr>
        <w:t xml:space="preserve">stanowiącego  </w:t>
      </w:r>
      <w:r w:rsidR="00911712">
        <w:rPr>
          <w:sz w:val="23"/>
          <w:szCs w:val="23"/>
        </w:rPr>
        <w:t xml:space="preserve">          </w:t>
      </w:r>
      <w:r w:rsidRPr="00911712">
        <w:rPr>
          <w:sz w:val="23"/>
          <w:szCs w:val="23"/>
        </w:rPr>
        <w:t>Załącznik</w:t>
      </w:r>
      <w:r w:rsidRPr="00911712">
        <w:rPr>
          <w:sz w:val="23"/>
          <w:szCs w:val="23"/>
        </w:rPr>
        <w:tab/>
      </w:r>
      <w:r w:rsidR="00911712">
        <w:rPr>
          <w:sz w:val="23"/>
          <w:szCs w:val="23"/>
        </w:rPr>
        <w:t xml:space="preserve">       </w:t>
      </w:r>
      <w:r w:rsidRPr="00911712">
        <w:rPr>
          <w:sz w:val="23"/>
          <w:szCs w:val="23"/>
        </w:rPr>
        <w:t>II</w:t>
      </w:r>
      <w:r w:rsidRPr="00911712">
        <w:rPr>
          <w:rFonts w:ascii="Times New Roman" w:eastAsia="Times New Roman" w:hAnsi="Times New Roman"/>
          <w:sz w:val="23"/>
          <w:szCs w:val="23"/>
        </w:rPr>
        <w:tab/>
      </w:r>
      <w:r w:rsidR="00911712">
        <w:rPr>
          <w:rFonts w:ascii="Times New Roman" w:eastAsia="Times New Roman" w:hAnsi="Times New Roman"/>
          <w:sz w:val="23"/>
          <w:szCs w:val="23"/>
        </w:rPr>
        <w:t xml:space="preserve">   </w:t>
      </w:r>
      <w:r w:rsidRPr="00911712">
        <w:rPr>
          <w:sz w:val="23"/>
          <w:szCs w:val="23"/>
        </w:rPr>
        <w:t>do</w:t>
      </w:r>
      <w:r w:rsidR="00911712">
        <w:rPr>
          <w:sz w:val="23"/>
          <w:szCs w:val="23"/>
        </w:rPr>
        <w:t xml:space="preserve"> </w:t>
      </w:r>
    </w:p>
    <w:p w14:paraId="524A6374" w14:textId="77777777" w:rsidR="00E05D9F" w:rsidRDefault="00E05D9F">
      <w:pPr>
        <w:spacing w:line="13" w:lineRule="exact"/>
        <w:rPr>
          <w:rFonts w:ascii="Times New Roman" w:eastAsia="Times New Roman" w:hAnsi="Times New Roman"/>
        </w:rPr>
      </w:pPr>
      <w:bookmarkStart w:id="20" w:name="page21"/>
      <w:bookmarkEnd w:id="20"/>
    </w:p>
    <w:p w14:paraId="0AD648CA" w14:textId="77777777" w:rsidR="00E05D9F" w:rsidRDefault="00E05D9F">
      <w:pPr>
        <w:spacing w:line="254" w:lineRule="auto"/>
        <w:ind w:left="8"/>
        <w:jc w:val="both"/>
        <w:rPr>
          <w:sz w:val="23"/>
        </w:rPr>
      </w:pPr>
      <w:r>
        <w:rPr>
          <w:sz w:val="23"/>
        </w:rPr>
        <w:t>rozporządzenia 651/2014. W przypadku infrastruktury, w odniesieniu do której w umowie o dofinansowanie założono jej gospodarcze wykorzystanie, podstawę udzielenia pomocy będzie stanowić co do zasady program pomocowy, w oparciu o który pierwotnie udzielono pomocy publicznej. Udzielając pomocy publicznej w omawianych przypadkach należy pamiętać o</w:t>
      </w:r>
      <w:r w:rsidR="009B1079">
        <w:rPr>
          <w:sz w:val="23"/>
        </w:rPr>
        <w:t> </w:t>
      </w:r>
      <w:r>
        <w:rPr>
          <w:sz w:val="23"/>
        </w:rPr>
        <w:t>obowiązku sprawozdawczym, jaki powstanie wskutek udzielenia tej nowej pomocy – powinna ona zostać sprawozdana z wykorzystaniem aplikacji SHRiMP.</w:t>
      </w:r>
    </w:p>
    <w:p w14:paraId="59B31338" w14:textId="77777777" w:rsidR="00E05D9F" w:rsidRDefault="00E05D9F">
      <w:pPr>
        <w:spacing w:line="319" w:lineRule="exact"/>
        <w:rPr>
          <w:rFonts w:ascii="Times New Roman" w:eastAsia="Times New Roman" w:hAnsi="Times New Roman"/>
        </w:rPr>
      </w:pPr>
    </w:p>
    <w:p w14:paraId="45F54122" w14:textId="77777777" w:rsidR="00E05D9F" w:rsidRDefault="00E05D9F">
      <w:pPr>
        <w:spacing w:line="286" w:lineRule="auto"/>
        <w:ind w:left="8"/>
        <w:jc w:val="both"/>
        <w:rPr>
          <w:sz w:val="21"/>
        </w:rPr>
      </w:pPr>
      <w:r>
        <w:rPr>
          <w:sz w:val="21"/>
        </w:rPr>
        <w:t>Należy mieć na względzie, że aby w ogóle było możliwe wsteczne zatwierdzenie udzielonej pomocy publicznej konieczne jest spełnienie wszystkich przesłanek warunkujących jej dopuszczalność, w</w:t>
      </w:r>
      <w:r w:rsidR="009B1079">
        <w:rPr>
          <w:sz w:val="21"/>
        </w:rPr>
        <w:t> </w:t>
      </w:r>
      <w:r>
        <w:rPr>
          <w:sz w:val="21"/>
        </w:rPr>
        <w:t>szczególności efektu zachęty. W przypadku projektów zakładających działalność gospodarczą przekraczającą poziom 20% rocznej wydajności, gdzie od początku beneficjent ubiega się o udzielenie pomocy, można z góry zakładać spełnienie tych warunków, w związku z czym, po ewentualnym przekroczeniu zakładanego udziału działalności gospodarczej konieczne będzie jedynie aneksowanie umowy oraz zaraportowanie dodatkowo udzielonej pomocy. Jednak w przypadku infrastruktury dofinansowanej z założeniem niewykonywania działalności gospodarczej powstaje wątpliwość co do możliwości spełnienia efektu zachęty, ponieważ w przypadku projektów dofinansowanych bez pomocy publicznej nie było wymogu złożenia wniosku o wsparcie przed rozpoczęciem prac. Odnosząc się do tych wątpliwości, Komisja Europejska wskazała w swoich wyjaśnieniach, że w takiej sytuacji można uznać, że efekt zachęty został spełniony, jeżeli wsparcie publiczne zostało udzielone zanim doszło do przekroczenia 20%-owego progu działalności gospodarczej.</w:t>
      </w:r>
    </w:p>
    <w:p w14:paraId="6CD07D81" w14:textId="77777777" w:rsidR="00E05D9F" w:rsidRDefault="00E05D9F">
      <w:pPr>
        <w:spacing w:line="236" w:lineRule="exact"/>
        <w:rPr>
          <w:rFonts w:ascii="Times New Roman" w:eastAsia="Times New Roman" w:hAnsi="Times New Roman"/>
        </w:rPr>
      </w:pPr>
    </w:p>
    <w:p w14:paraId="156BBAFF" w14:textId="77777777" w:rsidR="00E05D9F" w:rsidRDefault="00E05D9F">
      <w:pPr>
        <w:tabs>
          <w:tab w:val="left" w:pos="688"/>
        </w:tabs>
        <w:spacing w:line="0" w:lineRule="atLeast"/>
        <w:ind w:left="8"/>
        <w:rPr>
          <w:b/>
          <w:sz w:val="23"/>
        </w:rPr>
      </w:pPr>
      <w:r>
        <w:rPr>
          <w:b/>
          <w:sz w:val="23"/>
        </w:rPr>
        <w:t>VIII.</w:t>
      </w:r>
      <w:r>
        <w:rPr>
          <w:b/>
          <w:sz w:val="23"/>
        </w:rPr>
        <w:tab/>
        <w:t>Inne kwestie, niewynikające z zasad pomocy publicznej</w:t>
      </w:r>
    </w:p>
    <w:p w14:paraId="60F1894C" w14:textId="77777777" w:rsidR="00E05D9F" w:rsidRDefault="00E05D9F">
      <w:pPr>
        <w:spacing w:line="80" w:lineRule="exact"/>
        <w:rPr>
          <w:rFonts w:ascii="Times New Roman" w:eastAsia="Times New Roman" w:hAnsi="Times New Roman"/>
        </w:rPr>
      </w:pPr>
    </w:p>
    <w:p w14:paraId="2D2D1F72" w14:textId="77777777" w:rsidR="00E05D9F" w:rsidRDefault="00E05D9F" w:rsidP="00FE1021">
      <w:pPr>
        <w:numPr>
          <w:ilvl w:val="0"/>
          <w:numId w:val="49"/>
        </w:numPr>
        <w:tabs>
          <w:tab w:val="left" w:pos="428"/>
        </w:tabs>
        <w:spacing w:line="0" w:lineRule="atLeast"/>
        <w:ind w:left="428" w:hanging="428"/>
        <w:rPr>
          <w:sz w:val="23"/>
        </w:rPr>
      </w:pPr>
      <w:r>
        <w:rPr>
          <w:sz w:val="23"/>
        </w:rPr>
        <w:t>Stosowanie art. 207 ustawy o finansach publicznych</w:t>
      </w:r>
    </w:p>
    <w:p w14:paraId="371C3567" w14:textId="77777777" w:rsidR="00E05D9F" w:rsidRDefault="00E05D9F">
      <w:pPr>
        <w:spacing w:line="331" w:lineRule="exact"/>
        <w:rPr>
          <w:rFonts w:ascii="Times New Roman" w:eastAsia="Times New Roman" w:hAnsi="Times New Roman"/>
        </w:rPr>
      </w:pPr>
    </w:p>
    <w:p w14:paraId="503973DA" w14:textId="77777777" w:rsidR="00E05D9F" w:rsidRDefault="00E05D9F" w:rsidP="009B1079">
      <w:pPr>
        <w:spacing w:line="224" w:lineRule="auto"/>
        <w:ind w:left="8"/>
        <w:jc w:val="both"/>
        <w:rPr>
          <w:sz w:val="23"/>
        </w:rPr>
      </w:pPr>
      <w:r>
        <w:rPr>
          <w:sz w:val="23"/>
        </w:rPr>
        <w:t xml:space="preserve">W przypadku, gdy w którymkolwiek roku objętym mechanizmem monitorowania i wycofania zakres </w:t>
      </w:r>
      <w:r w:rsidR="009B1079">
        <w:rPr>
          <w:sz w:val="23"/>
        </w:rPr>
        <w:t xml:space="preserve"> </w:t>
      </w:r>
      <w:r>
        <w:rPr>
          <w:sz w:val="23"/>
        </w:rPr>
        <w:t>działalności</w:t>
      </w:r>
      <w:r w:rsidR="009B1079">
        <w:rPr>
          <w:sz w:val="23"/>
        </w:rPr>
        <w:t xml:space="preserve"> </w:t>
      </w:r>
      <w:r>
        <w:rPr>
          <w:sz w:val="23"/>
        </w:rPr>
        <w:t xml:space="preserve"> gospodarczej </w:t>
      </w:r>
      <w:r w:rsidR="009B1079">
        <w:rPr>
          <w:sz w:val="23"/>
        </w:rPr>
        <w:t xml:space="preserve"> </w:t>
      </w:r>
      <w:r>
        <w:rPr>
          <w:sz w:val="23"/>
        </w:rPr>
        <w:t xml:space="preserve">przekroczy </w:t>
      </w:r>
      <w:r w:rsidR="009B1079">
        <w:rPr>
          <w:sz w:val="23"/>
        </w:rPr>
        <w:t xml:space="preserve"> </w:t>
      </w:r>
      <w:r>
        <w:rPr>
          <w:sz w:val="23"/>
        </w:rPr>
        <w:t xml:space="preserve">poziom </w:t>
      </w:r>
      <w:r w:rsidR="009B1079">
        <w:rPr>
          <w:sz w:val="23"/>
        </w:rPr>
        <w:t xml:space="preserve"> </w:t>
      </w:r>
      <w:r>
        <w:rPr>
          <w:sz w:val="23"/>
        </w:rPr>
        <w:t>założony</w:t>
      </w:r>
      <w:r w:rsidR="009B1079">
        <w:rPr>
          <w:sz w:val="23"/>
        </w:rPr>
        <w:t xml:space="preserve"> </w:t>
      </w:r>
      <w:r>
        <w:rPr>
          <w:sz w:val="23"/>
        </w:rPr>
        <w:t xml:space="preserve"> na </w:t>
      </w:r>
      <w:r w:rsidR="009B1079">
        <w:rPr>
          <w:sz w:val="23"/>
        </w:rPr>
        <w:t xml:space="preserve"> </w:t>
      </w:r>
      <w:r>
        <w:rPr>
          <w:sz w:val="23"/>
        </w:rPr>
        <w:t>etapie podpisywania umowy</w:t>
      </w:r>
    </w:p>
    <w:p w14:paraId="471E5E51" w14:textId="77777777" w:rsidR="00E05D9F" w:rsidRDefault="00E05D9F">
      <w:pPr>
        <w:spacing w:line="91" w:lineRule="exact"/>
        <w:rPr>
          <w:rFonts w:ascii="Times New Roman" w:eastAsia="Times New Roman" w:hAnsi="Times New Roman"/>
        </w:rPr>
      </w:pPr>
    </w:p>
    <w:p w14:paraId="73152762" w14:textId="77777777" w:rsidR="00E05D9F" w:rsidRPr="009B1079" w:rsidRDefault="00E05D9F" w:rsidP="00FE1021">
      <w:pPr>
        <w:numPr>
          <w:ilvl w:val="0"/>
          <w:numId w:val="50"/>
        </w:numPr>
        <w:tabs>
          <w:tab w:val="left" w:pos="173"/>
        </w:tabs>
        <w:spacing w:line="284" w:lineRule="auto"/>
        <w:ind w:left="8" w:hanging="8"/>
        <w:jc w:val="both"/>
        <w:rPr>
          <w:sz w:val="23"/>
          <w:szCs w:val="23"/>
        </w:rPr>
      </w:pPr>
      <w:r w:rsidRPr="009B1079">
        <w:rPr>
          <w:sz w:val="23"/>
          <w:szCs w:val="23"/>
        </w:rPr>
        <w:t>dofinansowanie projektu, konieczne jest dokonanie przez beneficjenta zwrotu części dofinansowania uzyskanego na niegospodarczą część projektu, obliczonej zgodnie ze wskazówkami wskazanymi w punktach IV-VI. Konieczność zwrotu dofinansowania w związku z monitorowaniem wykorzystania powstałej infrastruktury do działalności gospodarczej powinna zostać uregulowana w umowie, wraz ze wskazaniem terminu, w jakim beneficjent jest zobowiązany do dokonania zwrotu, przy czym termin ten nie powinien być dłuższy niż 60 dni od zakończenia każdego roku, którego monitorowanie dotyczy. W przypadku niedokonania zwrotu w terminie określonym w umowie, zastosowanie znajdzie art. 207 ufp, bowiem wówczas mamy do czynienia z wykorzystaniem środków niezgodnie z procedurami.</w:t>
      </w:r>
    </w:p>
    <w:p w14:paraId="0D94D244" w14:textId="77777777" w:rsidR="00E05D9F" w:rsidRPr="009B1079" w:rsidRDefault="00E05D9F">
      <w:pPr>
        <w:spacing w:line="291" w:lineRule="exact"/>
        <w:rPr>
          <w:rFonts w:ascii="Times New Roman" w:eastAsia="Times New Roman" w:hAnsi="Times New Roman"/>
          <w:sz w:val="23"/>
          <w:szCs w:val="23"/>
        </w:rPr>
      </w:pPr>
    </w:p>
    <w:p w14:paraId="21533154" w14:textId="77777777" w:rsidR="00E05D9F" w:rsidRPr="009B1079" w:rsidRDefault="00E05D9F" w:rsidP="009B1079">
      <w:pPr>
        <w:spacing w:line="283" w:lineRule="auto"/>
        <w:ind w:left="8" w:right="20"/>
        <w:jc w:val="both"/>
        <w:rPr>
          <w:sz w:val="23"/>
          <w:szCs w:val="23"/>
        </w:rPr>
        <w:sectPr w:rsidR="00E05D9F" w:rsidRPr="009B1079" w:rsidSect="00F716F9">
          <w:pgSz w:w="11920" w:h="16845"/>
          <w:pgMar w:top="1440" w:right="1410" w:bottom="1440" w:left="1412" w:header="0" w:footer="68" w:gutter="0"/>
          <w:cols w:space="0" w:equalWidth="0">
            <w:col w:w="9088"/>
          </w:cols>
          <w:docGrid w:linePitch="360"/>
        </w:sectPr>
      </w:pPr>
      <w:r w:rsidRPr="009B1079">
        <w:rPr>
          <w:sz w:val="23"/>
          <w:szCs w:val="23"/>
        </w:rPr>
        <w:t>Umowa o dofinansowanie powinna zawierać zobowiązanie dla beneficjenta w zakresie informowania instytucji zarządzającej (lub instytucji pośredniczącej) o wynikach monitorowania prowadzonej działalności, oraz zobowiązanie dla instytucji zarządzającej do weryfikacji danych przekazywanych przez beneficjenta oraz wyliczenia kwoty podlegającej zwrotowi. Jeśli beneficjent z własnej inicjatywy dokona zwrotu, instytucja zarządzająca jest zobowiązana do weryfikacji prawidłowości kwoty zwróconej oraz – w razie potrzeby – dalszego odzyskiwania środków.</w:t>
      </w:r>
    </w:p>
    <w:p w14:paraId="0F9826F4" w14:textId="77777777" w:rsidR="00E05D9F" w:rsidRDefault="00E05D9F">
      <w:pPr>
        <w:spacing w:line="13" w:lineRule="exact"/>
        <w:rPr>
          <w:rFonts w:ascii="Times New Roman" w:eastAsia="Times New Roman" w:hAnsi="Times New Roman"/>
        </w:rPr>
      </w:pPr>
      <w:bookmarkStart w:id="21" w:name="page22"/>
      <w:bookmarkEnd w:id="21"/>
    </w:p>
    <w:p w14:paraId="5B1B2466" w14:textId="77777777" w:rsidR="00E05D9F" w:rsidRDefault="00E05D9F" w:rsidP="00FE1021">
      <w:pPr>
        <w:numPr>
          <w:ilvl w:val="0"/>
          <w:numId w:val="51"/>
        </w:numPr>
        <w:tabs>
          <w:tab w:val="left" w:pos="429"/>
        </w:tabs>
        <w:spacing w:line="258" w:lineRule="auto"/>
        <w:ind w:left="8" w:hanging="8"/>
        <w:jc w:val="both"/>
        <w:rPr>
          <w:sz w:val="23"/>
        </w:rPr>
      </w:pPr>
      <w:r>
        <w:rPr>
          <w:sz w:val="23"/>
        </w:rPr>
        <w:t>Planowana działalność komercyjna nieuwzględniona wcześniej we wniosku o</w:t>
      </w:r>
      <w:r w:rsidR="009B1079">
        <w:rPr>
          <w:sz w:val="23"/>
        </w:rPr>
        <w:t> </w:t>
      </w:r>
      <w:r>
        <w:rPr>
          <w:sz w:val="23"/>
        </w:rPr>
        <w:t>dofinansowanie wymaga aktualizacji analizy finansowej wskaźnika luki w finansowaniu dla</w:t>
      </w:r>
      <w:r w:rsidR="009B1079">
        <w:rPr>
          <w:sz w:val="23"/>
        </w:rPr>
        <w:t> </w:t>
      </w:r>
      <w:r>
        <w:rPr>
          <w:sz w:val="23"/>
        </w:rPr>
        <w:t>projektu. Aktualizacja analizy finansowej powinna zostać przeprowadzona w oparciu o</w:t>
      </w:r>
      <w:r w:rsidR="009B1079">
        <w:rPr>
          <w:sz w:val="23"/>
        </w:rPr>
        <w:t> </w:t>
      </w:r>
      <w:r>
        <w:rPr>
          <w:sz w:val="23"/>
        </w:rPr>
        <w:t>mające w danym przypadku zastosowanie przepisy regulujące wdrażanie funduszy unijnych oraz wytyczne ministra właściwego ds. rozwoju czy wytyczne programowe. Jeśli okaże się, że pierwotny (na podstawie którego dokonano obliczenia obowiązującego dotychczas poziomu dofinansowania) wskaźnik luki w finansowaniu był wyższy od wynikającego z aktualizacji analizy finansowej, konieczny jest zwrot środków z tytułu obniżenia poziomu dofinansowania.</w:t>
      </w:r>
    </w:p>
    <w:p w14:paraId="3B503B04" w14:textId="77777777" w:rsidR="00E05D9F" w:rsidRDefault="00E05D9F">
      <w:pPr>
        <w:spacing w:line="273" w:lineRule="exact"/>
        <w:rPr>
          <w:rFonts w:ascii="Times New Roman" w:eastAsia="Times New Roman" w:hAnsi="Times New Roman"/>
        </w:rPr>
      </w:pPr>
    </w:p>
    <w:p w14:paraId="0FF4D9C1" w14:textId="77777777" w:rsidR="00E05D9F" w:rsidRDefault="00E05D9F">
      <w:pPr>
        <w:spacing w:line="251" w:lineRule="auto"/>
        <w:ind w:left="8"/>
        <w:jc w:val="both"/>
        <w:rPr>
          <w:sz w:val="23"/>
        </w:rPr>
      </w:pPr>
      <w:r>
        <w:rPr>
          <w:sz w:val="23"/>
        </w:rPr>
        <w:t>Należy zwrócić uwagę, że konieczność aktualizacji analizy finansowej i związana z tym ewentualna konieczność zwrotu dofinansowania zajdzie niezależnie od wymiaru działalności gospodarczej prowadzonej na dofinansowanej infrastrukturze – również w przypadku, gdy działalność ta nie przekroczy poziomu 20% rocznej wydajności i nie będzie konieczne wycofywanie części dofinansowania.</w:t>
      </w:r>
    </w:p>
    <w:p w14:paraId="3F5277A9" w14:textId="77777777" w:rsidR="00E05D9F" w:rsidRDefault="00E05D9F">
      <w:pPr>
        <w:spacing w:line="273" w:lineRule="exact"/>
        <w:rPr>
          <w:rFonts w:ascii="Times New Roman" w:eastAsia="Times New Roman" w:hAnsi="Times New Roman"/>
        </w:rPr>
      </w:pPr>
    </w:p>
    <w:p w14:paraId="59C57139" w14:textId="77777777" w:rsidR="00E05D9F" w:rsidRDefault="00E05D9F">
      <w:pPr>
        <w:spacing w:line="249" w:lineRule="auto"/>
        <w:ind w:left="8"/>
        <w:jc w:val="both"/>
        <w:rPr>
          <w:sz w:val="23"/>
        </w:rPr>
      </w:pPr>
      <w:r>
        <w:rPr>
          <w:sz w:val="23"/>
        </w:rPr>
        <w:t>Jednocześnie należy pamiętać, że w przypadku aktualizacji analizy finansowej i związanej z tym zmiany kosztów kwalifikowalnych oraz poziomu dofinansowania, konieczne jest uwzględnienie takich zmian w ramach wyliczenia kwoty podlegającej zwrotowi, na co zwrócono uwagę w końcowej części punktu IV niniejszego materiału</w:t>
      </w:r>
      <w:r>
        <w:rPr>
          <w:sz w:val="27"/>
          <w:vertAlign w:val="superscript"/>
        </w:rPr>
        <w:t>6</w:t>
      </w:r>
      <w:r>
        <w:rPr>
          <w:sz w:val="23"/>
        </w:rPr>
        <w:t>.</w:t>
      </w:r>
    </w:p>
    <w:p w14:paraId="069587F4" w14:textId="4D37F276" w:rsidR="00E05D9F" w:rsidRDefault="00E05D9F">
      <w:pPr>
        <w:spacing w:line="20" w:lineRule="exact"/>
        <w:rPr>
          <w:rFonts w:ascii="Times New Roman" w:eastAsia="Times New Roman" w:hAnsi="Times New Roman"/>
        </w:rPr>
      </w:pPr>
    </w:p>
    <w:p w14:paraId="318D52DD" w14:textId="77777777" w:rsidR="00E05D9F" w:rsidRDefault="00E05D9F">
      <w:pPr>
        <w:spacing w:line="200" w:lineRule="exact"/>
        <w:rPr>
          <w:rFonts w:ascii="Times New Roman" w:eastAsia="Times New Roman" w:hAnsi="Times New Roman"/>
        </w:rPr>
      </w:pPr>
    </w:p>
    <w:p w14:paraId="15B0BD1B" w14:textId="579F4F83" w:rsidR="00E05D9F" w:rsidRPr="00DC090D" w:rsidRDefault="00FC2A99" w:rsidP="00FE1021">
      <w:pPr>
        <w:numPr>
          <w:ilvl w:val="0"/>
          <w:numId w:val="51"/>
        </w:numPr>
        <w:tabs>
          <w:tab w:val="left" w:pos="429"/>
        </w:tabs>
        <w:spacing w:line="258" w:lineRule="auto"/>
        <w:ind w:left="8" w:hanging="8"/>
        <w:jc w:val="both"/>
        <w:rPr>
          <w:sz w:val="23"/>
        </w:rPr>
      </w:pPr>
      <w:r w:rsidRPr="00DC090D">
        <w:rPr>
          <w:sz w:val="23"/>
        </w:rPr>
        <w:t>Monitorowanie</w:t>
      </w:r>
      <w:r w:rsidR="000253FA" w:rsidRPr="00DC090D">
        <w:rPr>
          <w:sz w:val="23"/>
        </w:rPr>
        <w:t xml:space="preserve"> wykorzystanie infrastruktury do badań podstawowych.</w:t>
      </w:r>
    </w:p>
    <w:p w14:paraId="38537FF6" w14:textId="77777777" w:rsidR="00E05D9F" w:rsidRDefault="00E05D9F">
      <w:pPr>
        <w:spacing w:line="200" w:lineRule="exact"/>
        <w:rPr>
          <w:rFonts w:ascii="Times New Roman" w:eastAsia="Times New Roman" w:hAnsi="Times New Roman"/>
        </w:rPr>
      </w:pPr>
    </w:p>
    <w:p w14:paraId="4021AF12" w14:textId="77777777" w:rsidR="00834FA9" w:rsidRDefault="00CF4D47" w:rsidP="00834FA9">
      <w:pPr>
        <w:spacing w:line="276" w:lineRule="auto"/>
        <w:rPr>
          <w:sz w:val="23"/>
        </w:rPr>
      </w:pPr>
      <w:r w:rsidRPr="00CF4D47">
        <w:rPr>
          <w:sz w:val="23"/>
        </w:rPr>
        <w:t xml:space="preserve">Jeżeli Projekt zakłada wykorzystanie infrastruktury na cele prowadzenia </w:t>
      </w:r>
      <w:r>
        <w:rPr>
          <w:sz w:val="23"/>
        </w:rPr>
        <w:t>badań podstawowych</w:t>
      </w:r>
      <w:r w:rsidRPr="00CF4D47">
        <w:rPr>
          <w:sz w:val="23"/>
        </w:rPr>
        <w:t xml:space="preserve">, </w:t>
      </w:r>
      <w:r>
        <w:rPr>
          <w:sz w:val="23"/>
        </w:rPr>
        <w:t>m</w:t>
      </w:r>
      <w:r w:rsidRPr="00CF4D47">
        <w:rPr>
          <w:sz w:val="23"/>
        </w:rPr>
        <w:t xml:space="preserve">onitorowanie </w:t>
      </w:r>
      <w:r w:rsidR="00B65FD0">
        <w:rPr>
          <w:sz w:val="23"/>
        </w:rPr>
        <w:t>czy</w:t>
      </w:r>
      <w:r w:rsidRPr="00CF4D47">
        <w:rPr>
          <w:sz w:val="23"/>
        </w:rPr>
        <w:t xml:space="preserve"> wykorzystani</w:t>
      </w:r>
      <w:r w:rsidR="00B65FD0">
        <w:rPr>
          <w:sz w:val="23"/>
        </w:rPr>
        <w:t>e</w:t>
      </w:r>
      <w:r w:rsidRPr="00CF4D47">
        <w:rPr>
          <w:sz w:val="23"/>
        </w:rPr>
        <w:t xml:space="preserve"> infrastruktury</w:t>
      </w:r>
      <w:r w:rsidR="00973CC4">
        <w:rPr>
          <w:sz w:val="23"/>
        </w:rPr>
        <w:t xml:space="preserve"> do badań podstawowych nie przekracza 5% jej wydajności </w:t>
      </w:r>
      <w:r w:rsidRPr="00CF4D47">
        <w:rPr>
          <w:sz w:val="23"/>
        </w:rPr>
        <w:t xml:space="preserve"> odbywa się co najmniej przez cały okres jej amortyzacji, zgodnie z metodą amortyzacji na podstawie ustawy o rachunkowości, niezależnie od upływu okresu trwałości Projektu. </w:t>
      </w:r>
      <w:r w:rsidRPr="00834FA9">
        <w:rPr>
          <w:sz w:val="23"/>
        </w:rPr>
        <w:t xml:space="preserve">Jeżeli poszczególne składniki infrastruktury amortyzują się w różnych okresach, sposób </w:t>
      </w:r>
    </w:p>
    <w:p w14:paraId="61C4CE2B" w14:textId="5C93782F" w:rsidR="006662D7" w:rsidRPr="00DC090D" w:rsidRDefault="00CF4D47" w:rsidP="00DC090D">
      <w:pPr>
        <w:spacing w:line="276" w:lineRule="auto"/>
        <w:rPr>
          <w:sz w:val="23"/>
        </w:rPr>
      </w:pPr>
      <w:r w:rsidRPr="00834FA9">
        <w:rPr>
          <w:sz w:val="23"/>
        </w:rPr>
        <w:t>wykorzystania każdego ze składników podlega</w:t>
      </w:r>
      <w:r w:rsidRPr="00CF4D47">
        <w:rPr>
          <w:sz w:val="23"/>
        </w:rPr>
        <w:t xml:space="preserve"> monitorowaniu we właściwym dla niego okresie amortyzacji.</w:t>
      </w:r>
    </w:p>
    <w:p w14:paraId="5F8E89D8" w14:textId="30A7F66F" w:rsidR="00E05D9F" w:rsidRPr="00DC090D" w:rsidRDefault="006662D7" w:rsidP="00DC090D">
      <w:pPr>
        <w:spacing w:line="276" w:lineRule="auto"/>
        <w:rPr>
          <w:sz w:val="23"/>
        </w:rPr>
      </w:pPr>
      <w:r>
        <w:rPr>
          <w:sz w:val="23"/>
        </w:rPr>
        <w:t>W</w:t>
      </w:r>
      <w:r w:rsidR="008D2317" w:rsidRPr="00DC090D">
        <w:rPr>
          <w:sz w:val="23"/>
        </w:rPr>
        <w:t xml:space="preserve"> ramach obowiązku monitorowania sposobu wykorzystania infrastruktury badawczej </w:t>
      </w:r>
      <w:r w:rsidRPr="00DC090D">
        <w:rPr>
          <w:sz w:val="23"/>
        </w:rPr>
        <w:t xml:space="preserve">na cele prowadzenia badań podstawowych </w:t>
      </w:r>
      <w:r w:rsidR="008D2317" w:rsidRPr="00DC090D">
        <w:rPr>
          <w:sz w:val="23"/>
        </w:rPr>
        <w:t>Beneficjent składa Instytucji Zarządzającej w cyklach rocznych, w terminie 60 dni od dnia zakończenia okresu rocznego, sprawozdania ze sposobu i zakresu wykorzystania infrastruktury badawczej</w:t>
      </w:r>
      <w:r w:rsidRPr="00DC090D">
        <w:rPr>
          <w:sz w:val="23"/>
        </w:rPr>
        <w:t>.</w:t>
      </w:r>
    </w:p>
    <w:p w14:paraId="29D07247" w14:textId="78ACBE06" w:rsidR="00E05D9F" w:rsidRDefault="00867215" w:rsidP="00DC090D">
      <w:pPr>
        <w:spacing w:line="276" w:lineRule="auto"/>
        <w:rPr>
          <w:rFonts w:ascii="Times New Roman" w:eastAsia="Times New Roman" w:hAnsi="Times New Roman"/>
        </w:rPr>
      </w:pPr>
      <w:r w:rsidRPr="00DC090D">
        <w:rPr>
          <w:sz w:val="23"/>
        </w:rPr>
        <w:t>Przekroczenie wykorzystania infrastruktury badawczej na cele prowadzenia badań podstawowych powyżej 5% wydajności wspartej infrastruktury skutkuje zwrotem dofinansowania.</w:t>
      </w:r>
    </w:p>
    <w:p w14:paraId="3CBCDDBE" w14:textId="217CB768" w:rsidR="00E05D9F" w:rsidRDefault="00E05D9F">
      <w:pPr>
        <w:spacing w:line="200" w:lineRule="exact"/>
        <w:rPr>
          <w:rFonts w:ascii="Times New Roman" w:eastAsia="Times New Roman" w:hAnsi="Times New Roman"/>
        </w:rPr>
      </w:pPr>
    </w:p>
    <w:p w14:paraId="34939498" w14:textId="036CDE35" w:rsidR="00E05D9F" w:rsidRDefault="00E05D9F">
      <w:pPr>
        <w:spacing w:line="200" w:lineRule="exact"/>
        <w:rPr>
          <w:rFonts w:ascii="Times New Roman" w:eastAsia="Times New Roman" w:hAnsi="Times New Roman"/>
        </w:rPr>
      </w:pPr>
    </w:p>
    <w:p w14:paraId="1CB86B81" w14:textId="57DB91E2" w:rsidR="00E05D9F" w:rsidRDefault="00E05D9F">
      <w:pPr>
        <w:spacing w:line="200" w:lineRule="exact"/>
        <w:rPr>
          <w:rFonts w:ascii="Times New Roman" w:eastAsia="Times New Roman" w:hAnsi="Times New Roman"/>
        </w:rPr>
      </w:pPr>
    </w:p>
    <w:p w14:paraId="6A00F6FF" w14:textId="77777777" w:rsidR="00E05D9F" w:rsidRDefault="00E05D9F">
      <w:pPr>
        <w:spacing w:line="200" w:lineRule="exact"/>
        <w:rPr>
          <w:rFonts w:ascii="Times New Roman" w:eastAsia="Times New Roman" w:hAnsi="Times New Roman"/>
        </w:rPr>
      </w:pPr>
    </w:p>
    <w:p w14:paraId="42108B40" w14:textId="77777777" w:rsidR="00E05D9F" w:rsidRDefault="00E05D9F">
      <w:pPr>
        <w:spacing w:line="200" w:lineRule="exact"/>
        <w:rPr>
          <w:rFonts w:ascii="Times New Roman" w:eastAsia="Times New Roman" w:hAnsi="Times New Roman"/>
        </w:rPr>
      </w:pPr>
    </w:p>
    <w:p w14:paraId="0FBADE56" w14:textId="4894E66D" w:rsidR="00E05D9F" w:rsidRDefault="008D2317">
      <w:pPr>
        <w:spacing w:line="367" w:lineRule="exact"/>
        <w:rPr>
          <w:rFonts w:ascii="Times New Roman" w:eastAsia="Times New Roman" w:hAnsi="Times New Roman"/>
        </w:rPr>
      </w:pPr>
      <w:r>
        <w:rPr>
          <w:noProof/>
          <w:sz w:val="23"/>
        </w:rPr>
        <mc:AlternateContent>
          <mc:Choice Requires="wps">
            <w:drawing>
              <wp:anchor distT="0" distB="0" distL="114300" distR="114300" simplePos="0" relativeHeight="251658243" behindDoc="1" locked="0" layoutInCell="1" allowOverlap="1" wp14:anchorId="0CA7CE14" wp14:editId="1875979C">
                <wp:simplePos x="0" y="0"/>
                <wp:positionH relativeFrom="column">
                  <wp:posOffset>57150</wp:posOffset>
                </wp:positionH>
                <wp:positionV relativeFrom="paragraph">
                  <wp:posOffset>139065</wp:posOffset>
                </wp:positionV>
                <wp:extent cx="1830705" cy="0"/>
                <wp:effectExtent l="10795" t="10160" r="6350" b="8890"/>
                <wp:wrapNone/>
                <wp:docPr id="1245059399"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1EC2E"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95pt" to="148.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WHsAEAAEgDAAAOAAAAZHJzL2Uyb0RvYy54bWysU8Fu2zAMvQ/YPwi6L3YyZO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"/>
            </w:pict>
          </mc:Fallback>
        </mc:AlternateContent>
      </w:r>
    </w:p>
    <w:p w14:paraId="0EF032AE" w14:textId="77777777" w:rsidR="00E05D9F" w:rsidRDefault="00E05D9F" w:rsidP="00FE1021">
      <w:pPr>
        <w:numPr>
          <w:ilvl w:val="0"/>
          <w:numId w:val="52"/>
        </w:numPr>
        <w:tabs>
          <w:tab w:val="left" w:pos="128"/>
        </w:tabs>
        <w:spacing w:line="255" w:lineRule="auto"/>
        <w:ind w:left="8" w:hanging="8"/>
        <w:jc w:val="both"/>
        <w:rPr>
          <w:sz w:val="27"/>
          <w:vertAlign w:val="superscript"/>
        </w:rPr>
      </w:pPr>
      <w:r>
        <w:rPr>
          <w:sz w:val="18"/>
        </w:rPr>
        <w:t xml:space="preserve">W odniesieniu do projektów perspektywy finansowej UE 2007-2013, zgodnie z rozporządzeniem Rady (WE) Nr 1083/2006 z dnia 11 lipca 2006 r. ustanawiającym przepisy ogólne dotyczące Europejskiego Funduszu Rozwoju Regionalnego, Europejskiego Funduszu Społecznego oraz Funduszu Spójności i uchylającym rozporządzenie (WE) nr 1260/1999 (Dz. Urz. UE L 210 z 31.07.2006, str.25 z późn. zm.) oraz Wytycznymi w zakresie wybranych zagadnień związanych z przygotowaniem projektów inwestycyjnych, w tym projektów generujących dochód z dnia 11 lipca 2022 r., z momentem złożenia dokumentów zamknięcia programów do Komisji Europejskiej (31 marca 2017 r.) ustał obowiązek monitorowania dochodu. Tym samym, w </w:t>
      </w:r>
      <w:r>
        <w:rPr>
          <w:sz w:val="18"/>
        </w:rPr>
        <w:lastRenderedPageBreak/>
        <w:t>odniesieniu do beneficjentów, którzy podjęli po tym terminie (lub planują podjąć) pomocniczą działalność gospodarczą z wykorzystaniem powstałej w ramach takich programów infrastruktury, co może skutkować wystąpieniem wcześniej nieplanowanych dochodów, ustaje obowiązek:</w:t>
      </w:r>
    </w:p>
    <w:p w14:paraId="2FD501D9" w14:textId="77777777" w:rsidR="00E05D9F" w:rsidRPr="009B1079" w:rsidRDefault="00E05D9F">
      <w:pPr>
        <w:spacing w:line="245" w:lineRule="exact"/>
        <w:rPr>
          <w:rFonts w:ascii="Times New Roman" w:eastAsia="Times New Roman" w:hAnsi="Times New Roman"/>
        </w:rPr>
      </w:pPr>
    </w:p>
    <w:p w14:paraId="19B4A3FF" w14:textId="77777777" w:rsidR="00E05D9F" w:rsidRPr="009B1079" w:rsidRDefault="00E05D9F" w:rsidP="00FE1021">
      <w:pPr>
        <w:numPr>
          <w:ilvl w:val="0"/>
          <w:numId w:val="53"/>
        </w:numPr>
        <w:tabs>
          <w:tab w:val="left" w:pos="88"/>
        </w:tabs>
        <w:spacing w:line="0" w:lineRule="atLeast"/>
        <w:ind w:left="88" w:hanging="88"/>
        <w:jc w:val="both"/>
        <w:rPr>
          <w:sz w:val="18"/>
        </w:rPr>
      </w:pPr>
      <w:r w:rsidRPr="009B1079">
        <w:rPr>
          <w:sz w:val="18"/>
        </w:rPr>
        <w:t>dokonywania ponownej kalkulacji luki i obniżania ewentualnego poziomu wsparcia w przypadku projektów, o których mowa</w:t>
      </w:r>
      <w:r w:rsidR="009B1079">
        <w:rPr>
          <w:sz w:val="18"/>
        </w:rPr>
        <w:t xml:space="preserve"> </w:t>
      </w:r>
      <w:r w:rsidRPr="009B1079">
        <w:rPr>
          <w:sz w:val="18"/>
        </w:rPr>
        <w:t>w art. 55 ust. 2 ww. rozporządzenia, czyli przedsięwzięć, dla których wartość dofinansowania z funduszy UE obliczono na etapie wnioskowania o dofinansowanie, w oparciu o metodę luki w finansowaniu,</w:t>
      </w:r>
    </w:p>
    <w:p w14:paraId="42043006" w14:textId="77777777" w:rsidR="00E05D9F" w:rsidRDefault="00E05D9F">
      <w:pPr>
        <w:spacing w:line="303" w:lineRule="exact"/>
        <w:rPr>
          <w:rFonts w:ascii="Times New Roman" w:eastAsia="Times New Roman" w:hAnsi="Times New Roman"/>
        </w:rPr>
      </w:pPr>
    </w:p>
    <w:p w14:paraId="35B32D79" w14:textId="77777777" w:rsidR="00E05D9F" w:rsidRDefault="00E05D9F" w:rsidP="00FE1021">
      <w:pPr>
        <w:numPr>
          <w:ilvl w:val="0"/>
          <w:numId w:val="54"/>
        </w:numPr>
        <w:tabs>
          <w:tab w:val="left" w:pos="113"/>
        </w:tabs>
        <w:spacing w:line="0" w:lineRule="atLeast"/>
        <w:ind w:left="8" w:hanging="8"/>
        <w:jc w:val="both"/>
        <w:rPr>
          <w:sz w:val="18"/>
        </w:rPr>
      </w:pPr>
      <w:r>
        <w:rPr>
          <w:sz w:val="18"/>
        </w:rPr>
        <w:t>dokonywania zwrotu dochodu, który ewentualnie wystąpi w przypadku projektów, o których mowa w art. 55 ust. 3 ww. rozporządzenia, czyli przedsięwzięć, dla których na etapie wnioskowania o dofinansowanie nie było możliwości obiektywnego oszacowania dochodu i zastosowania wobec nich metody luki w finansowaniu.</w:t>
      </w:r>
    </w:p>
    <w:p w14:paraId="35E445E3" w14:textId="77777777" w:rsidR="00E05D9F" w:rsidRDefault="00E05D9F">
      <w:pPr>
        <w:spacing w:line="241" w:lineRule="exact"/>
        <w:rPr>
          <w:rFonts w:ascii="Times New Roman" w:eastAsia="Times New Roman" w:hAnsi="Times New Roman"/>
        </w:rPr>
      </w:pPr>
    </w:p>
    <w:p w14:paraId="1159E185" w14:textId="77777777" w:rsidR="00E05D9F" w:rsidRDefault="00E05D9F">
      <w:pPr>
        <w:spacing w:line="0" w:lineRule="atLeast"/>
        <w:ind w:left="8868"/>
      </w:pPr>
      <w:r>
        <w:t>22</w:t>
      </w:r>
    </w:p>
    <w:p w14:paraId="402D6CCE" w14:textId="77777777" w:rsidR="00E05D9F" w:rsidRDefault="00E05D9F">
      <w:pPr>
        <w:spacing w:line="0" w:lineRule="atLeast"/>
        <w:ind w:left="8868"/>
        <w:sectPr w:rsidR="00E05D9F" w:rsidSect="00F716F9">
          <w:pgSz w:w="11920" w:h="16845"/>
          <w:pgMar w:top="1440" w:right="1410" w:bottom="1440" w:left="1412" w:header="0" w:footer="68" w:gutter="0"/>
          <w:cols w:space="0" w:equalWidth="0">
            <w:col w:w="9088"/>
          </w:cols>
          <w:docGrid w:linePitch="360"/>
        </w:sectPr>
      </w:pPr>
    </w:p>
    <w:p w14:paraId="29B3EB3C" w14:textId="77777777" w:rsidR="00E05D9F" w:rsidRDefault="00E05D9F">
      <w:pPr>
        <w:spacing w:line="0" w:lineRule="atLeast"/>
        <w:rPr>
          <w:b/>
          <w:sz w:val="23"/>
        </w:rPr>
      </w:pPr>
      <w:bookmarkStart w:id="22" w:name="page23"/>
      <w:bookmarkEnd w:id="22"/>
      <w:r>
        <w:rPr>
          <w:b/>
          <w:sz w:val="23"/>
        </w:rPr>
        <w:lastRenderedPageBreak/>
        <w:t>Wykaz zastosowanych oznaczeń</w:t>
      </w:r>
    </w:p>
    <w:p w14:paraId="765432D0" w14:textId="77777777" w:rsidR="00E05D9F" w:rsidRDefault="00E05D9F">
      <w:pPr>
        <w:spacing w:line="200" w:lineRule="exact"/>
        <w:rPr>
          <w:rFonts w:ascii="Times New Roman" w:eastAsia="Times New Roman" w:hAnsi="Times New Roman"/>
        </w:rPr>
      </w:pPr>
    </w:p>
    <w:p w14:paraId="172E437C" w14:textId="77777777" w:rsidR="00E05D9F" w:rsidRDefault="00E05D9F">
      <w:pPr>
        <w:spacing w:line="384" w:lineRule="exact"/>
        <w:rPr>
          <w:rFonts w:ascii="Times New Roman" w:eastAsia="Times New Roman" w:hAnsi="Times New Roman"/>
        </w:rPr>
      </w:pPr>
    </w:p>
    <w:tbl>
      <w:tblPr>
        <w:tblW w:w="0" w:type="auto"/>
        <w:tblInd w:w="350" w:type="dxa"/>
        <w:tblLayout w:type="fixed"/>
        <w:tblCellMar>
          <w:left w:w="0" w:type="dxa"/>
          <w:right w:w="0" w:type="dxa"/>
        </w:tblCellMar>
        <w:tblLook w:val="0000" w:firstRow="0" w:lastRow="0" w:firstColumn="0" w:lastColumn="0" w:noHBand="0" w:noVBand="0"/>
      </w:tblPr>
      <w:tblGrid>
        <w:gridCol w:w="2080"/>
        <w:gridCol w:w="6640"/>
        <w:gridCol w:w="40"/>
      </w:tblGrid>
      <w:tr w:rsidR="00E05D9F" w14:paraId="5E2939F4" w14:textId="77777777">
        <w:trPr>
          <w:trHeight w:val="281"/>
        </w:trPr>
        <w:tc>
          <w:tcPr>
            <w:tcW w:w="2080" w:type="dxa"/>
            <w:vMerge w:val="restart"/>
            <w:tcBorders>
              <w:top w:val="single" w:sz="8" w:space="0" w:color="auto"/>
              <w:left w:val="single" w:sz="8" w:space="0" w:color="auto"/>
              <w:right w:val="single" w:sz="8" w:space="0" w:color="auto"/>
            </w:tcBorders>
            <w:shd w:val="clear" w:color="auto" w:fill="auto"/>
            <w:vAlign w:val="bottom"/>
          </w:tcPr>
          <w:p w14:paraId="64DFB181" w14:textId="77777777" w:rsidR="00E05D9F" w:rsidRDefault="00E05D9F">
            <w:pPr>
              <w:spacing w:line="0" w:lineRule="atLeast"/>
              <w:ind w:left="340"/>
              <w:rPr>
                <w:sz w:val="23"/>
              </w:rPr>
            </w:pPr>
            <w:r>
              <w:rPr>
                <w:sz w:val="23"/>
              </w:rPr>
              <w:t>DG</w:t>
            </w:r>
          </w:p>
        </w:tc>
        <w:tc>
          <w:tcPr>
            <w:tcW w:w="6640" w:type="dxa"/>
            <w:tcBorders>
              <w:top w:val="single" w:sz="8" w:space="0" w:color="auto"/>
              <w:right w:val="single" w:sz="8" w:space="0" w:color="auto"/>
            </w:tcBorders>
            <w:shd w:val="clear" w:color="auto" w:fill="auto"/>
            <w:vAlign w:val="bottom"/>
          </w:tcPr>
          <w:p w14:paraId="74A98A4F" w14:textId="77777777" w:rsidR="00E05D9F" w:rsidRDefault="00E05D9F">
            <w:pPr>
              <w:spacing w:line="0" w:lineRule="atLeast"/>
              <w:ind w:left="300"/>
              <w:rPr>
                <w:sz w:val="23"/>
              </w:rPr>
            </w:pPr>
            <w:r>
              <w:rPr>
                <w:sz w:val="23"/>
              </w:rPr>
              <w:t>procentowy udział działalności gospodarczej w ramach rocznej</w:t>
            </w:r>
          </w:p>
        </w:tc>
        <w:tc>
          <w:tcPr>
            <w:tcW w:w="40" w:type="dxa"/>
            <w:shd w:val="clear" w:color="auto" w:fill="auto"/>
            <w:vAlign w:val="bottom"/>
          </w:tcPr>
          <w:p w14:paraId="272C00D9" w14:textId="77777777" w:rsidR="00E05D9F" w:rsidRDefault="00E05D9F">
            <w:pPr>
              <w:spacing w:line="0" w:lineRule="atLeast"/>
              <w:rPr>
                <w:rFonts w:ascii="Times New Roman" w:eastAsia="Times New Roman" w:hAnsi="Times New Roman"/>
                <w:sz w:val="24"/>
              </w:rPr>
            </w:pPr>
          </w:p>
        </w:tc>
      </w:tr>
      <w:tr w:rsidR="00E05D9F" w14:paraId="40D8722F" w14:textId="77777777">
        <w:trPr>
          <w:trHeight w:val="150"/>
        </w:trPr>
        <w:tc>
          <w:tcPr>
            <w:tcW w:w="2080" w:type="dxa"/>
            <w:vMerge/>
            <w:tcBorders>
              <w:left w:val="single" w:sz="8" w:space="0" w:color="auto"/>
              <w:right w:val="single" w:sz="8" w:space="0" w:color="auto"/>
            </w:tcBorders>
            <w:shd w:val="clear" w:color="auto" w:fill="auto"/>
            <w:vAlign w:val="bottom"/>
          </w:tcPr>
          <w:p w14:paraId="6EA13D86" w14:textId="77777777" w:rsidR="00E05D9F" w:rsidRDefault="00E05D9F">
            <w:pPr>
              <w:spacing w:line="0" w:lineRule="atLeast"/>
              <w:rPr>
                <w:rFonts w:ascii="Times New Roman" w:eastAsia="Times New Roman" w:hAnsi="Times New Roman"/>
                <w:sz w:val="13"/>
              </w:rPr>
            </w:pPr>
          </w:p>
        </w:tc>
        <w:tc>
          <w:tcPr>
            <w:tcW w:w="6640" w:type="dxa"/>
            <w:tcBorders>
              <w:right w:val="single" w:sz="8" w:space="0" w:color="auto"/>
            </w:tcBorders>
            <w:shd w:val="clear" w:color="auto" w:fill="auto"/>
            <w:vAlign w:val="bottom"/>
          </w:tcPr>
          <w:p w14:paraId="3AC22F7F" w14:textId="77777777" w:rsidR="00E05D9F" w:rsidRDefault="00E05D9F">
            <w:pPr>
              <w:spacing w:line="0" w:lineRule="atLeast"/>
              <w:rPr>
                <w:rFonts w:ascii="Times New Roman" w:eastAsia="Times New Roman" w:hAnsi="Times New Roman"/>
                <w:sz w:val="13"/>
              </w:rPr>
            </w:pPr>
          </w:p>
        </w:tc>
        <w:tc>
          <w:tcPr>
            <w:tcW w:w="40" w:type="dxa"/>
            <w:shd w:val="clear" w:color="auto" w:fill="auto"/>
            <w:vAlign w:val="bottom"/>
          </w:tcPr>
          <w:p w14:paraId="46A4F1AE" w14:textId="77777777" w:rsidR="00E05D9F" w:rsidRDefault="00E05D9F">
            <w:pPr>
              <w:spacing w:line="0" w:lineRule="atLeast"/>
              <w:rPr>
                <w:rFonts w:ascii="Times New Roman" w:eastAsia="Times New Roman" w:hAnsi="Times New Roman"/>
                <w:sz w:val="13"/>
              </w:rPr>
            </w:pPr>
          </w:p>
        </w:tc>
      </w:tr>
      <w:tr w:rsidR="00E05D9F" w14:paraId="7252D890" w14:textId="77777777">
        <w:trPr>
          <w:trHeight w:val="255"/>
        </w:trPr>
        <w:tc>
          <w:tcPr>
            <w:tcW w:w="2080" w:type="dxa"/>
            <w:tcBorders>
              <w:left w:val="single" w:sz="8" w:space="0" w:color="auto"/>
              <w:right w:val="single" w:sz="8" w:space="0" w:color="auto"/>
            </w:tcBorders>
            <w:shd w:val="clear" w:color="auto" w:fill="auto"/>
            <w:vAlign w:val="bottom"/>
          </w:tcPr>
          <w:p w14:paraId="4AA143F9" w14:textId="77777777" w:rsidR="00E05D9F" w:rsidRDefault="00E05D9F">
            <w:pPr>
              <w:spacing w:line="0" w:lineRule="atLeast"/>
              <w:rPr>
                <w:rFonts w:ascii="Times New Roman" w:eastAsia="Times New Roman" w:hAnsi="Times New Roman"/>
                <w:sz w:val="22"/>
              </w:rPr>
            </w:pPr>
          </w:p>
        </w:tc>
        <w:tc>
          <w:tcPr>
            <w:tcW w:w="6640" w:type="dxa"/>
            <w:tcBorders>
              <w:right w:val="single" w:sz="8" w:space="0" w:color="auto"/>
            </w:tcBorders>
            <w:shd w:val="clear" w:color="auto" w:fill="auto"/>
            <w:vAlign w:val="bottom"/>
          </w:tcPr>
          <w:p w14:paraId="27B98B90" w14:textId="77777777" w:rsidR="00E05D9F" w:rsidRDefault="00E05D9F">
            <w:pPr>
              <w:spacing w:line="254" w:lineRule="exact"/>
              <w:ind w:left="300"/>
              <w:rPr>
                <w:sz w:val="23"/>
              </w:rPr>
            </w:pPr>
            <w:r>
              <w:rPr>
                <w:sz w:val="23"/>
              </w:rPr>
              <w:t>wydajności infrastruktury w projekcie</w:t>
            </w:r>
          </w:p>
        </w:tc>
        <w:tc>
          <w:tcPr>
            <w:tcW w:w="40" w:type="dxa"/>
            <w:shd w:val="clear" w:color="auto" w:fill="auto"/>
            <w:vAlign w:val="bottom"/>
          </w:tcPr>
          <w:p w14:paraId="142BE091" w14:textId="77777777" w:rsidR="00E05D9F" w:rsidRDefault="00E05D9F">
            <w:pPr>
              <w:spacing w:line="0" w:lineRule="atLeast"/>
              <w:rPr>
                <w:rFonts w:ascii="Times New Roman" w:eastAsia="Times New Roman" w:hAnsi="Times New Roman"/>
                <w:sz w:val="22"/>
              </w:rPr>
            </w:pPr>
          </w:p>
        </w:tc>
      </w:tr>
      <w:tr w:rsidR="00E05D9F" w14:paraId="4EDE8797" w14:textId="77777777">
        <w:trPr>
          <w:trHeight w:val="125"/>
        </w:trPr>
        <w:tc>
          <w:tcPr>
            <w:tcW w:w="2080" w:type="dxa"/>
            <w:tcBorders>
              <w:left w:val="single" w:sz="8" w:space="0" w:color="auto"/>
              <w:bottom w:val="single" w:sz="8" w:space="0" w:color="auto"/>
              <w:right w:val="single" w:sz="8" w:space="0" w:color="auto"/>
            </w:tcBorders>
            <w:shd w:val="clear" w:color="auto" w:fill="auto"/>
            <w:vAlign w:val="bottom"/>
          </w:tcPr>
          <w:p w14:paraId="6F4B0DDC" w14:textId="77777777" w:rsidR="00E05D9F" w:rsidRDefault="00E05D9F">
            <w:pPr>
              <w:spacing w:line="0" w:lineRule="atLeast"/>
              <w:rPr>
                <w:rFonts w:ascii="Times New Roman" w:eastAsia="Times New Roman" w:hAnsi="Times New Roman"/>
                <w:sz w:val="10"/>
              </w:rPr>
            </w:pPr>
          </w:p>
        </w:tc>
        <w:tc>
          <w:tcPr>
            <w:tcW w:w="6640" w:type="dxa"/>
            <w:tcBorders>
              <w:bottom w:val="single" w:sz="8" w:space="0" w:color="auto"/>
              <w:right w:val="single" w:sz="8" w:space="0" w:color="auto"/>
            </w:tcBorders>
            <w:shd w:val="clear" w:color="auto" w:fill="auto"/>
            <w:vAlign w:val="bottom"/>
          </w:tcPr>
          <w:p w14:paraId="2D5FB360" w14:textId="77777777" w:rsidR="00E05D9F" w:rsidRDefault="00E05D9F">
            <w:pPr>
              <w:spacing w:line="0" w:lineRule="atLeast"/>
              <w:rPr>
                <w:rFonts w:ascii="Times New Roman" w:eastAsia="Times New Roman" w:hAnsi="Times New Roman"/>
                <w:sz w:val="10"/>
              </w:rPr>
            </w:pPr>
          </w:p>
        </w:tc>
        <w:tc>
          <w:tcPr>
            <w:tcW w:w="40" w:type="dxa"/>
            <w:shd w:val="clear" w:color="auto" w:fill="auto"/>
            <w:vAlign w:val="bottom"/>
          </w:tcPr>
          <w:p w14:paraId="4B71267E" w14:textId="77777777" w:rsidR="00E05D9F" w:rsidRDefault="00E05D9F">
            <w:pPr>
              <w:spacing w:line="0" w:lineRule="atLeast"/>
              <w:rPr>
                <w:rFonts w:ascii="Times New Roman" w:eastAsia="Times New Roman" w:hAnsi="Times New Roman"/>
                <w:sz w:val="10"/>
              </w:rPr>
            </w:pPr>
          </w:p>
        </w:tc>
      </w:tr>
      <w:tr w:rsidR="00E05D9F" w14:paraId="148A1BEA" w14:textId="77777777">
        <w:trPr>
          <w:trHeight w:val="261"/>
        </w:trPr>
        <w:tc>
          <w:tcPr>
            <w:tcW w:w="2080" w:type="dxa"/>
            <w:vMerge w:val="restart"/>
            <w:tcBorders>
              <w:left w:val="single" w:sz="8" w:space="0" w:color="auto"/>
              <w:right w:val="single" w:sz="8" w:space="0" w:color="auto"/>
            </w:tcBorders>
            <w:shd w:val="clear" w:color="auto" w:fill="auto"/>
            <w:vAlign w:val="bottom"/>
          </w:tcPr>
          <w:p w14:paraId="4A048133" w14:textId="77777777" w:rsidR="00E05D9F" w:rsidRDefault="00E05D9F">
            <w:pPr>
              <w:spacing w:line="0" w:lineRule="atLeast"/>
              <w:ind w:left="340"/>
              <w:rPr>
                <w:sz w:val="27"/>
                <w:vertAlign w:val="subscript"/>
              </w:rPr>
            </w:pPr>
            <w:r>
              <w:rPr>
                <w:sz w:val="23"/>
              </w:rPr>
              <w:t>DG</w:t>
            </w:r>
            <w:r>
              <w:rPr>
                <w:sz w:val="27"/>
                <w:vertAlign w:val="subscript"/>
              </w:rPr>
              <w:t>n</w:t>
            </w:r>
          </w:p>
        </w:tc>
        <w:tc>
          <w:tcPr>
            <w:tcW w:w="6640" w:type="dxa"/>
            <w:tcBorders>
              <w:right w:val="single" w:sz="8" w:space="0" w:color="auto"/>
            </w:tcBorders>
            <w:shd w:val="clear" w:color="auto" w:fill="auto"/>
            <w:vAlign w:val="bottom"/>
          </w:tcPr>
          <w:p w14:paraId="29DD5719" w14:textId="77777777" w:rsidR="00E05D9F" w:rsidRDefault="00E05D9F">
            <w:pPr>
              <w:spacing w:line="261" w:lineRule="exact"/>
              <w:ind w:left="300"/>
              <w:rPr>
                <w:sz w:val="23"/>
              </w:rPr>
            </w:pPr>
            <w:r>
              <w:rPr>
                <w:sz w:val="23"/>
              </w:rPr>
              <w:t>procentowy udział w roku „n” działalności gospodarczej w ramach</w:t>
            </w:r>
          </w:p>
        </w:tc>
        <w:tc>
          <w:tcPr>
            <w:tcW w:w="40" w:type="dxa"/>
            <w:shd w:val="clear" w:color="auto" w:fill="auto"/>
            <w:vAlign w:val="bottom"/>
          </w:tcPr>
          <w:p w14:paraId="2B631E32" w14:textId="77777777" w:rsidR="00E05D9F" w:rsidRDefault="00E05D9F">
            <w:pPr>
              <w:spacing w:line="0" w:lineRule="atLeast"/>
              <w:rPr>
                <w:rFonts w:ascii="Times New Roman" w:eastAsia="Times New Roman" w:hAnsi="Times New Roman"/>
                <w:sz w:val="22"/>
              </w:rPr>
            </w:pPr>
          </w:p>
        </w:tc>
      </w:tr>
      <w:tr w:rsidR="00E05D9F" w14:paraId="14E48BA0" w14:textId="77777777">
        <w:trPr>
          <w:trHeight w:val="201"/>
        </w:trPr>
        <w:tc>
          <w:tcPr>
            <w:tcW w:w="2080" w:type="dxa"/>
            <w:vMerge/>
            <w:tcBorders>
              <w:left w:val="single" w:sz="8" w:space="0" w:color="auto"/>
              <w:right w:val="single" w:sz="8" w:space="0" w:color="auto"/>
            </w:tcBorders>
            <w:shd w:val="clear" w:color="auto" w:fill="auto"/>
            <w:vAlign w:val="bottom"/>
          </w:tcPr>
          <w:p w14:paraId="115D98E2" w14:textId="77777777" w:rsidR="00E05D9F" w:rsidRDefault="00E05D9F">
            <w:pPr>
              <w:spacing w:line="0" w:lineRule="atLeast"/>
              <w:rPr>
                <w:rFonts w:ascii="Times New Roman" w:eastAsia="Times New Roman" w:hAnsi="Times New Roman"/>
                <w:sz w:val="17"/>
              </w:rPr>
            </w:pPr>
          </w:p>
        </w:tc>
        <w:tc>
          <w:tcPr>
            <w:tcW w:w="6640" w:type="dxa"/>
            <w:vMerge w:val="restart"/>
            <w:tcBorders>
              <w:right w:val="single" w:sz="8" w:space="0" w:color="auto"/>
            </w:tcBorders>
            <w:shd w:val="clear" w:color="auto" w:fill="auto"/>
            <w:vAlign w:val="bottom"/>
          </w:tcPr>
          <w:p w14:paraId="4EBEC468" w14:textId="77777777" w:rsidR="00E05D9F" w:rsidRDefault="00E05D9F">
            <w:pPr>
              <w:spacing w:line="0" w:lineRule="atLeast"/>
              <w:ind w:left="300"/>
              <w:rPr>
                <w:sz w:val="23"/>
              </w:rPr>
            </w:pPr>
            <w:r>
              <w:rPr>
                <w:sz w:val="23"/>
              </w:rPr>
              <w:t>rocznej wydajności infrastruktury</w:t>
            </w:r>
          </w:p>
        </w:tc>
        <w:tc>
          <w:tcPr>
            <w:tcW w:w="40" w:type="dxa"/>
            <w:shd w:val="clear" w:color="auto" w:fill="auto"/>
            <w:vAlign w:val="bottom"/>
          </w:tcPr>
          <w:p w14:paraId="0781AD5D" w14:textId="77777777" w:rsidR="00E05D9F" w:rsidRDefault="00E05D9F">
            <w:pPr>
              <w:spacing w:line="0" w:lineRule="atLeast"/>
              <w:rPr>
                <w:rFonts w:ascii="Times New Roman" w:eastAsia="Times New Roman" w:hAnsi="Times New Roman"/>
                <w:sz w:val="17"/>
              </w:rPr>
            </w:pPr>
          </w:p>
        </w:tc>
      </w:tr>
      <w:tr w:rsidR="00E05D9F" w14:paraId="5D892D0A" w14:textId="77777777">
        <w:trPr>
          <w:trHeight w:val="204"/>
        </w:trPr>
        <w:tc>
          <w:tcPr>
            <w:tcW w:w="2080" w:type="dxa"/>
            <w:tcBorders>
              <w:left w:val="single" w:sz="8" w:space="0" w:color="auto"/>
              <w:right w:val="single" w:sz="8" w:space="0" w:color="auto"/>
            </w:tcBorders>
            <w:shd w:val="clear" w:color="auto" w:fill="auto"/>
            <w:vAlign w:val="bottom"/>
          </w:tcPr>
          <w:p w14:paraId="1ECD2D81" w14:textId="77777777" w:rsidR="00E05D9F" w:rsidRDefault="00E05D9F">
            <w:pPr>
              <w:spacing w:line="0" w:lineRule="atLeast"/>
              <w:rPr>
                <w:rFonts w:ascii="Times New Roman" w:eastAsia="Times New Roman" w:hAnsi="Times New Roman"/>
                <w:sz w:val="17"/>
              </w:rPr>
            </w:pPr>
          </w:p>
        </w:tc>
        <w:tc>
          <w:tcPr>
            <w:tcW w:w="6640" w:type="dxa"/>
            <w:vMerge/>
            <w:tcBorders>
              <w:right w:val="single" w:sz="8" w:space="0" w:color="auto"/>
            </w:tcBorders>
            <w:shd w:val="clear" w:color="auto" w:fill="auto"/>
            <w:vAlign w:val="bottom"/>
          </w:tcPr>
          <w:p w14:paraId="40576011" w14:textId="77777777" w:rsidR="00E05D9F" w:rsidRDefault="00E05D9F">
            <w:pPr>
              <w:spacing w:line="0" w:lineRule="atLeast"/>
              <w:rPr>
                <w:rFonts w:ascii="Times New Roman" w:eastAsia="Times New Roman" w:hAnsi="Times New Roman"/>
                <w:sz w:val="17"/>
              </w:rPr>
            </w:pPr>
          </w:p>
        </w:tc>
        <w:tc>
          <w:tcPr>
            <w:tcW w:w="40" w:type="dxa"/>
            <w:shd w:val="clear" w:color="auto" w:fill="auto"/>
            <w:vAlign w:val="bottom"/>
          </w:tcPr>
          <w:p w14:paraId="730D3A79" w14:textId="77777777" w:rsidR="00E05D9F" w:rsidRDefault="00E05D9F">
            <w:pPr>
              <w:spacing w:line="0" w:lineRule="atLeast"/>
              <w:rPr>
                <w:rFonts w:ascii="Times New Roman" w:eastAsia="Times New Roman" w:hAnsi="Times New Roman"/>
                <w:sz w:val="17"/>
              </w:rPr>
            </w:pPr>
          </w:p>
        </w:tc>
      </w:tr>
      <w:tr w:rsidR="00E05D9F" w14:paraId="2D4A36DC" w14:textId="77777777">
        <w:trPr>
          <w:trHeight w:val="139"/>
        </w:trPr>
        <w:tc>
          <w:tcPr>
            <w:tcW w:w="2080" w:type="dxa"/>
            <w:tcBorders>
              <w:left w:val="single" w:sz="8" w:space="0" w:color="auto"/>
              <w:bottom w:val="single" w:sz="8" w:space="0" w:color="auto"/>
              <w:right w:val="single" w:sz="8" w:space="0" w:color="auto"/>
            </w:tcBorders>
            <w:shd w:val="clear" w:color="auto" w:fill="auto"/>
            <w:vAlign w:val="bottom"/>
          </w:tcPr>
          <w:p w14:paraId="7291C6D9" w14:textId="77777777" w:rsidR="00E05D9F" w:rsidRDefault="00E05D9F">
            <w:pPr>
              <w:spacing w:line="0" w:lineRule="atLeast"/>
              <w:rPr>
                <w:rFonts w:ascii="Times New Roman" w:eastAsia="Times New Roman" w:hAnsi="Times New Roman"/>
                <w:sz w:val="12"/>
              </w:rPr>
            </w:pPr>
          </w:p>
        </w:tc>
        <w:tc>
          <w:tcPr>
            <w:tcW w:w="6640" w:type="dxa"/>
            <w:tcBorders>
              <w:bottom w:val="single" w:sz="8" w:space="0" w:color="auto"/>
              <w:right w:val="single" w:sz="8" w:space="0" w:color="auto"/>
            </w:tcBorders>
            <w:shd w:val="clear" w:color="auto" w:fill="auto"/>
            <w:vAlign w:val="bottom"/>
          </w:tcPr>
          <w:p w14:paraId="5D867A73" w14:textId="77777777" w:rsidR="00E05D9F" w:rsidRDefault="00E05D9F">
            <w:pPr>
              <w:spacing w:line="0" w:lineRule="atLeast"/>
              <w:rPr>
                <w:rFonts w:ascii="Times New Roman" w:eastAsia="Times New Roman" w:hAnsi="Times New Roman"/>
                <w:sz w:val="12"/>
              </w:rPr>
            </w:pPr>
          </w:p>
        </w:tc>
        <w:tc>
          <w:tcPr>
            <w:tcW w:w="40" w:type="dxa"/>
            <w:shd w:val="clear" w:color="auto" w:fill="auto"/>
            <w:vAlign w:val="bottom"/>
          </w:tcPr>
          <w:p w14:paraId="0B14854B" w14:textId="77777777" w:rsidR="00E05D9F" w:rsidRDefault="00E05D9F">
            <w:pPr>
              <w:spacing w:line="0" w:lineRule="atLeast"/>
              <w:rPr>
                <w:rFonts w:ascii="Times New Roman" w:eastAsia="Times New Roman" w:hAnsi="Times New Roman"/>
                <w:sz w:val="12"/>
              </w:rPr>
            </w:pPr>
          </w:p>
        </w:tc>
      </w:tr>
      <w:tr w:rsidR="00E05D9F" w14:paraId="24EB693B" w14:textId="77777777">
        <w:trPr>
          <w:trHeight w:val="246"/>
        </w:trPr>
        <w:tc>
          <w:tcPr>
            <w:tcW w:w="2080" w:type="dxa"/>
            <w:vMerge w:val="restart"/>
            <w:tcBorders>
              <w:left w:val="single" w:sz="8" w:space="0" w:color="auto"/>
              <w:right w:val="single" w:sz="8" w:space="0" w:color="auto"/>
            </w:tcBorders>
            <w:shd w:val="clear" w:color="auto" w:fill="auto"/>
            <w:vAlign w:val="bottom"/>
          </w:tcPr>
          <w:p w14:paraId="13275AA2" w14:textId="77777777" w:rsidR="00E05D9F" w:rsidRDefault="00E05D9F">
            <w:pPr>
              <w:spacing w:line="0" w:lineRule="atLeast"/>
              <w:ind w:left="340"/>
              <w:rPr>
                <w:sz w:val="23"/>
              </w:rPr>
            </w:pPr>
            <w:r>
              <w:rPr>
                <w:sz w:val="23"/>
              </w:rPr>
              <w:t>DNG</w:t>
            </w:r>
          </w:p>
        </w:tc>
        <w:tc>
          <w:tcPr>
            <w:tcW w:w="6640" w:type="dxa"/>
            <w:tcBorders>
              <w:right w:val="single" w:sz="8" w:space="0" w:color="auto"/>
            </w:tcBorders>
            <w:shd w:val="clear" w:color="auto" w:fill="auto"/>
            <w:vAlign w:val="bottom"/>
          </w:tcPr>
          <w:p w14:paraId="67CCC1FB" w14:textId="77777777" w:rsidR="00E05D9F" w:rsidRDefault="00E05D9F">
            <w:pPr>
              <w:spacing w:line="246" w:lineRule="exact"/>
              <w:ind w:left="300"/>
              <w:rPr>
                <w:sz w:val="23"/>
              </w:rPr>
            </w:pPr>
            <w:r>
              <w:rPr>
                <w:sz w:val="23"/>
              </w:rPr>
              <w:t>procentowy udział działalności niegospodarczej w ramach rocznej</w:t>
            </w:r>
          </w:p>
        </w:tc>
        <w:tc>
          <w:tcPr>
            <w:tcW w:w="40" w:type="dxa"/>
            <w:shd w:val="clear" w:color="auto" w:fill="auto"/>
            <w:vAlign w:val="bottom"/>
          </w:tcPr>
          <w:p w14:paraId="353A9ED0" w14:textId="77777777" w:rsidR="00E05D9F" w:rsidRDefault="00E05D9F">
            <w:pPr>
              <w:spacing w:line="0" w:lineRule="atLeast"/>
              <w:rPr>
                <w:rFonts w:ascii="Times New Roman" w:eastAsia="Times New Roman" w:hAnsi="Times New Roman"/>
                <w:sz w:val="21"/>
              </w:rPr>
            </w:pPr>
          </w:p>
        </w:tc>
      </w:tr>
      <w:tr w:rsidR="00E05D9F" w14:paraId="04E50917" w14:textId="77777777">
        <w:trPr>
          <w:trHeight w:val="211"/>
        </w:trPr>
        <w:tc>
          <w:tcPr>
            <w:tcW w:w="2080" w:type="dxa"/>
            <w:vMerge/>
            <w:tcBorders>
              <w:left w:val="single" w:sz="8" w:space="0" w:color="auto"/>
              <w:right w:val="single" w:sz="8" w:space="0" w:color="auto"/>
            </w:tcBorders>
            <w:shd w:val="clear" w:color="auto" w:fill="auto"/>
            <w:vAlign w:val="bottom"/>
          </w:tcPr>
          <w:p w14:paraId="7630C3D6" w14:textId="77777777" w:rsidR="00E05D9F" w:rsidRDefault="00E05D9F">
            <w:pPr>
              <w:spacing w:line="0" w:lineRule="atLeast"/>
              <w:rPr>
                <w:rFonts w:ascii="Times New Roman" w:eastAsia="Times New Roman" w:hAnsi="Times New Roman"/>
                <w:sz w:val="18"/>
              </w:rPr>
            </w:pPr>
          </w:p>
        </w:tc>
        <w:tc>
          <w:tcPr>
            <w:tcW w:w="6640" w:type="dxa"/>
            <w:vMerge w:val="restart"/>
            <w:tcBorders>
              <w:right w:val="single" w:sz="8" w:space="0" w:color="auto"/>
            </w:tcBorders>
            <w:shd w:val="clear" w:color="auto" w:fill="auto"/>
            <w:vAlign w:val="bottom"/>
          </w:tcPr>
          <w:p w14:paraId="47D5ECEA" w14:textId="77777777" w:rsidR="00E05D9F" w:rsidRDefault="00E05D9F">
            <w:pPr>
              <w:spacing w:line="0" w:lineRule="atLeast"/>
              <w:ind w:left="300"/>
              <w:rPr>
                <w:sz w:val="23"/>
              </w:rPr>
            </w:pPr>
            <w:r>
              <w:rPr>
                <w:sz w:val="23"/>
              </w:rPr>
              <w:t>wydajności infrastruktury w projekcie</w:t>
            </w:r>
          </w:p>
        </w:tc>
        <w:tc>
          <w:tcPr>
            <w:tcW w:w="40" w:type="dxa"/>
            <w:shd w:val="clear" w:color="auto" w:fill="auto"/>
            <w:vAlign w:val="bottom"/>
          </w:tcPr>
          <w:p w14:paraId="74EEB6BB" w14:textId="77777777" w:rsidR="00E05D9F" w:rsidRDefault="00E05D9F">
            <w:pPr>
              <w:spacing w:line="0" w:lineRule="atLeast"/>
              <w:rPr>
                <w:rFonts w:ascii="Times New Roman" w:eastAsia="Times New Roman" w:hAnsi="Times New Roman"/>
                <w:sz w:val="18"/>
              </w:rPr>
            </w:pPr>
          </w:p>
        </w:tc>
      </w:tr>
      <w:tr w:rsidR="00E05D9F" w14:paraId="5C99D08B" w14:textId="77777777">
        <w:trPr>
          <w:trHeight w:val="195"/>
        </w:trPr>
        <w:tc>
          <w:tcPr>
            <w:tcW w:w="2080" w:type="dxa"/>
            <w:tcBorders>
              <w:left w:val="single" w:sz="8" w:space="0" w:color="auto"/>
              <w:right w:val="single" w:sz="8" w:space="0" w:color="auto"/>
            </w:tcBorders>
            <w:shd w:val="clear" w:color="auto" w:fill="auto"/>
            <w:vAlign w:val="bottom"/>
          </w:tcPr>
          <w:p w14:paraId="619A7339" w14:textId="77777777" w:rsidR="00E05D9F" w:rsidRDefault="00E05D9F">
            <w:pPr>
              <w:spacing w:line="0" w:lineRule="atLeast"/>
              <w:rPr>
                <w:rFonts w:ascii="Times New Roman" w:eastAsia="Times New Roman" w:hAnsi="Times New Roman"/>
                <w:sz w:val="16"/>
              </w:rPr>
            </w:pPr>
          </w:p>
        </w:tc>
        <w:tc>
          <w:tcPr>
            <w:tcW w:w="6640" w:type="dxa"/>
            <w:vMerge/>
            <w:tcBorders>
              <w:right w:val="single" w:sz="8" w:space="0" w:color="auto"/>
            </w:tcBorders>
            <w:shd w:val="clear" w:color="auto" w:fill="auto"/>
            <w:vAlign w:val="bottom"/>
          </w:tcPr>
          <w:p w14:paraId="7D433090" w14:textId="77777777" w:rsidR="00E05D9F" w:rsidRDefault="00E05D9F">
            <w:pPr>
              <w:spacing w:line="0" w:lineRule="atLeast"/>
              <w:rPr>
                <w:rFonts w:ascii="Times New Roman" w:eastAsia="Times New Roman" w:hAnsi="Times New Roman"/>
                <w:sz w:val="16"/>
              </w:rPr>
            </w:pPr>
          </w:p>
        </w:tc>
        <w:tc>
          <w:tcPr>
            <w:tcW w:w="40" w:type="dxa"/>
            <w:shd w:val="clear" w:color="auto" w:fill="auto"/>
            <w:vAlign w:val="bottom"/>
          </w:tcPr>
          <w:p w14:paraId="15AB02DF" w14:textId="77777777" w:rsidR="00E05D9F" w:rsidRDefault="00E05D9F">
            <w:pPr>
              <w:spacing w:line="0" w:lineRule="atLeast"/>
              <w:rPr>
                <w:rFonts w:ascii="Times New Roman" w:eastAsia="Times New Roman" w:hAnsi="Times New Roman"/>
                <w:sz w:val="16"/>
              </w:rPr>
            </w:pPr>
          </w:p>
        </w:tc>
      </w:tr>
      <w:tr w:rsidR="00E05D9F" w14:paraId="678F2AC8" w14:textId="77777777">
        <w:trPr>
          <w:trHeight w:val="139"/>
        </w:trPr>
        <w:tc>
          <w:tcPr>
            <w:tcW w:w="2080" w:type="dxa"/>
            <w:tcBorders>
              <w:left w:val="single" w:sz="8" w:space="0" w:color="auto"/>
              <w:bottom w:val="single" w:sz="8" w:space="0" w:color="auto"/>
              <w:right w:val="single" w:sz="8" w:space="0" w:color="auto"/>
            </w:tcBorders>
            <w:shd w:val="clear" w:color="auto" w:fill="auto"/>
            <w:vAlign w:val="bottom"/>
          </w:tcPr>
          <w:p w14:paraId="13E252CB" w14:textId="77777777" w:rsidR="00E05D9F" w:rsidRDefault="00E05D9F">
            <w:pPr>
              <w:spacing w:line="0" w:lineRule="atLeast"/>
              <w:rPr>
                <w:rFonts w:ascii="Times New Roman" w:eastAsia="Times New Roman" w:hAnsi="Times New Roman"/>
                <w:sz w:val="12"/>
              </w:rPr>
            </w:pPr>
          </w:p>
        </w:tc>
        <w:tc>
          <w:tcPr>
            <w:tcW w:w="6640" w:type="dxa"/>
            <w:tcBorders>
              <w:bottom w:val="single" w:sz="8" w:space="0" w:color="auto"/>
              <w:right w:val="single" w:sz="8" w:space="0" w:color="auto"/>
            </w:tcBorders>
            <w:shd w:val="clear" w:color="auto" w:fill="auto"/>
            <w:vAlign w:val="bottom"/>
          </w:tcPr>
          <w:p w14:paraId="6C8EF79B" w14:textId="77777777" w:rsidR="00E05D9F" w:rsidRDefault="00E05D9F">
            <w:pPr>
              <w:spacing w:line="0" w:lineRule="atLeast"/>
              <w:rPr>
                <w:rFonts w:ascii="Times New Roman" w:eastAsia="Times New Roman" w:hAnsi="Times New Roman"/>
                <w:sz w:val="12"/>
              </w:rPr>
            </w:pPr>
          </w:p>
        </w:tc>
        <w:tc>
          <w:tcPr>
            <w:tcW w:w="40" w:type="dxa"/>
            <w:shd w:val="clear" w:color="auto" w:fill="auto"/>
            <w:vAlign w:val="bottom"/>
          </w:tcPr>
          <w:p w14:paraId="43BDE88C" w14:textId="77777777" w:rsidR="00E05D9F" w:rsidRDefault="00E05D9F">
            <w:pPr>
              <w:spacing w:line="0" w:lineRule="atLeast"/>
              <w:rPr>
                <w:rFonts w:ascii="Times New Roman" w:eastAsia="Times New Roman" w:hAnsi="Times New Roman"/>
                <w:sz w:val="12"/>
              </w:rPr>
            </w:pPr>
          </w:p>
        </w:tc>
      </w:tr>
      <w:tr w:rsidR="00E05D9F" w14:paraId="56B7CB13" w14:textId="77777777">
        <w:trPr>
          <w:trHeight w:val="261"/>
        </w:trPr>
        <w:tc>
          <w:tcPr>
            <w:tcW w:w="2080" w:type="dxa"/>
            <w:vMerge w:val="restart"/>
            <w:tcBorders>
              <w:left w:val="single" w:sz="8" w:space="0" w:color="auto"/>
              <w:right w:val="single" w:sz="8" w:space="0" w:color="auto"/>
            </w:tcBorders>
            <w:shd w:val="clear" w:color="auto" w:fill="auto"/>
            <w:vAlign w:val="bottom"/>
          </w:tcPr>
          <w:p w14:paraId="7A693862" w14:textId="77777777" w:rsidR="00E05D9F" w:rsidRDefault="00E05D9F">
            <w:pPr>
              <w:spacing w:line="0" w:lineRule="atLeast"/>
              <w:ind w:left="340"/>
              <w:rPr>
                <w:sz w:val="27"/>
                <w:vertAlign w:val="subscript"/>
              </w:rPr>
            </w:pPr>
            <w:r>
              <w:rPr>
                <w:sz w:val="23"/>
              </w:rPr>
              <w:t>DNG</w:t>
            </w:r>
            <w:r>
              <w:rPr>
                <w:sz w:val="27"/>
                <w:vertAlign w:val="subscript"/>
              </w:rPr>
              <w:t>n</w:t>
            </w:r>
          </w:p>
        </w:tc>
        <w:tc>
          <w:tcPr>
            <w:tcW w:w="6640" w:type="dxa"/>
            <w:tcBorders>
              <w:right w:val="single" w:sz="8" w:space="0" w:color="auto"/>
            </w:tcBorders>
            <w:shd w:val="clear" w:color="auto" w:fill="auto"/>
            <w:vAlign w:val="bottom"/>
          </w:tcPr>
          <w:p w14:paraId="31A4FFDD" w14:textId="77777777" w:rsidR="00E05D9F" w:rsidRDefault="00E05D9F">
            <w:pPr>
              <w:spacing w:line="261" w:lineRule="exact"/>
              <w:ind w:left="300"/>
              <w:rPr>
                <w:w w:val="97"/>
                <w:sz w:val="23"/>
              </w:rPr>
            </w:pPr>
            <w:r>
              <w:rPr>
                <w:w w:val="97"/>
                <w:sz w:val="23"/>
              </w:rPr>
              <w:t>procentowy udział w roku „n” działalności niegospodarczej w ramach</w:t>
            </w:r>
          </w:p>
        </w:tc>
        <w:tc>
          <w:tcPr>
            <w:tcW w:w="40" w:type="dxa"/>
            <w:shd w:val="clear" w:color="auto" w:fill="auto"/>
            <w:vAlign w:val="bottom"/>
          </w:tcPr>
          <w:p w14:paraId="21F8894B" w14:textId="77777777" w:rsidR="00E05D9F" w:rsidRDefault="00E05D9F">
            <w:pPr>
              <w:spacing w:line="0" w:lineRule="atLeast"/>
              <w:rPr>
                <w:rFonts w:ascii="Times New Roman" w:eastAsia="Times New Roman" w:hAnsi="Times New Roman"/>
                <w:sz w:val="22"/>
              </w:rPr>
            </w:pPr>
          </w:p>
        </w:tc>
      </w:tr>
      <w:tr w:rsidR="00E05D9F" w14:paraId="231CDDE6" w14:textId="77777777">
        <w:trPr>
          <w:trHeight w:val="201"/>
        </w:trPr>
        <w:tc>
          <w:tcPr>
            <w:tcW w:w="2080" w:type="dxa"/>
            <w:vMerge/>
            <w:tcBorders>
              <w:left w:val="single" w:sz="8" w:space="0" w:color="auto"/>
              <w:right w:val="single" w:sz="8" w:space="0" w:color="auto"/>
            </w:tcBorders>
            <w:shd w:val="clear" w:color="auto" w:fill="auto"/>
            <w:vAlign w:val="bottom"/>
          </w:tcPr>
          <w:p w14:paraId="63F68705" w14:textId="77777777" w:rsidR="00E05D9F" w:rsidRDefault="00E05D9F">
            <w:pPr>
              <w:spacing w:line="0" w:lineRule="atLeast"/>
              <w:rPr>
                <w:rFonts w:ascii="Times New Roman" w:eastAsia="Times New Roman" w:hAnsi="Times New Roman"/>
                <w:sz w:val="17"/>
              </w:rPr>
            </w:pPr>
          </w:p>
        </w:tc>
        <w:tc>
          <w:tcPr>
            <w:tcW w:w="6640" w:type="dxa"/>
            <w:vMerge w:val="restart"/>
            <w:tcBorders>
              <w:right w:val="single" w:sz="8" w:space="0" w:color="auto"/>
            </w:tcBorders>
            <w:shd w:val="clear" w:color="auto" w:fill="auto"/>
            <w:vAlign w:val="bottom"/>
          </w:tcPr>
          <w:p w14:paraId="03A6B2F9" w14:textId="77777777" w:rsidR="00E05D9F" w:rsidRDefault="00E05D9F">
            <w:pPr>
              <w:spacing w:line="0" w:lineRule="atLeast"/>
              <w:ind w:left="300"/>
              <w:rPr>
                <w:sz w:val="23"/>
              </w:rPr>
            </w:pPr>
            <w:r>
              <w:rPr>
                <w:sz w:val="23"/>
              </w:rPr>
              <w:t>rocznej wydajności infrastruktury</w:t>
            </w:r>
          </w:p>
        </w:tc>
        <w:tc>
          <w:tcPr>
            <w:tcW w:w="40" w:type="dxa"/>
            <w:shd w:val="clear" w:color="auto" w:fill="auto"/>
            <w:vAlign w:val="bottom"/>
          </w:tcPr>
          <w:p w14:paraId="2D2C9A01" w14:textId="77777777" w:rsidR="00E05D9F" w:rsidRDefault="00E05D9F">
            <w:pPr>
              <w:spacing w:line="0" w:lineRule="atLeast"/>
              <w:rPr>
                <w:rFonts w:ascii="Times New Roman" w:eastAsia="Times New Roman" w:hAnsi="Times New Roman"/>
                <w:sz w:val="17"/>
              </w:rPr>
            </w:pPr>
          </w:p>
        </w:tc>
      </w:tr>
      <w:tr w:rsidR="00E05D9F" w14:paraId="2CA4FA28" w14:textId="77777777">
        <w:trPr>
          <w:trHeight w:val="205"/>
        </w:trPr>
        <w:tc>
          <w:tcPr>
            <w:tcW w:w="2080" w:type="dxa"/>
            <w:tcBorders>
              <w:left w:val="single" w:sz="8" w:space="0" w:color="auto"/>
              <w:right w:val="single" w:sz="8" w:space="0" w:color="auto"/>
            </w:tcBorders>
            <w:shd w:val="clear" w:color="auto" w:fill="auto"/>
            <w:vAlign w:val="bottom"/>
          </w:tcPr>
          <w:p w14:paraId="2579899D" w14:textId="77777777" w:rsidR="00E05D9F" w:rsidRDefault="00E05D9F">
            <w:pPr>
              <w:spacing w:line="0" w:lineRule="atLeast"/>
              <w:rPr>
                <w:rFonts w:ascii="Times New Roman" w:eastAsia="Times New Roman" w:hAnsi="Times New Roman"/>
                <w:sz w:val="17"/>
              </w:rPr>
            </w:pPr>
          </w:p>
        </w:tc>
        <w:tc>
          <w:tcPr>
            <w:tcW w:w="6640" w:type="dxa"/>
            <w:vMerge/>
            <w:tcBorders>
              <w:right w:val="single" w:sz="8" w:space="0" w:color="auto"/>
            </w:tcBorders>
            <w:shd w:val="clear" w:color="auto" w:fill="auto"/>
            <w:vAlign w:val="bottom"/>
          </w:tcPr>
          <w:p w14:paraId="42A10355" w14:textId="77777777" w:rsidR="00E05D9F" w:rsidRDefault="00E05D9F">
            <w:pPr>
              <w:spacing w:line="0" w:lineRule="atLeast"/>
              <w:rPr>
                <w:rFonts w:ascii="Times New Roman" w:eastAsia="Times New Roman" w:hAnsi="Times New Roman"/>
                <w:sz w:val="17"/>
              </w:rPr>
            </w:pPr>
          </w:p>
        </w:tc>
        <w:tc>
          <w:tcPr>
            <w:tcW w:w="40" w:type="dxa"/>
            <w:shd w:val="clear" w:color="auto" w:fill="auto"/>
            <w:vAlign w:val="bottom"/>
          </w:tcPr>
          <w:p w14:paraId="3609AFAB" w14:textId="77777777" w:rsidR="00E05D9F" w:rsidRDefault="00E05D9F">
            <w:pPr>
              <w:spacing w:line="0" w:lineRule="atLeast"/>
              <w:rPr>
                <w:rFonts w:ascii="Times New Roman" w:eastAsia="Times New Roman" w:hAnsi="Times New Roman"/>
                <w:sz w:val="17"/>
              </w:rPr>
            </w:pPr>
          </w:p>
        </w:tc>
      </w:tr>
      <w:tr w:rsidR="00E05D9F" w14:paraId="2557B3EB" w14:textId="77777777">
        <w:trPr>
          <w:trHeight w:val="124"/>
        </w:trPr>
        <w:tc>
          <w:tcPr>
            <w:tcW w:w="2080" w:type="dxa"/>
            <w:tcBorders>
              <w:left w:val="single" w:sz="8" w:space="0" w:color="auto"/>
              <w:bottom w:val="single" w:sz="8" w:space="0" w:color="auto"/>
              <w:right w:val="single" w:sz="8" w:space="0" w:color="auto"/>
            </w:tcBorders>
            <w:shd w:val="clear" w:color="auto" w:fill="auto"/>
            <w:vAlign w:val="bottom"/>
          </w:tcPr>
          <w:p w14:paraId="501D8B80" w14:textId="77777777" w:rsidR="00E05D9F" w:rsidRDefault="00E05D9F">
            <w:pPr>
              <w:spacing w:line="0" w:lineRule="atLeast"/>
              <w:rPr>
                <w:rFonts w:ascii="Times New Roman" w:eastAsia="Times New Roman" w:hAnsi="Times New Roman"/>
                <w:sz w:val="10"/>
              </w:rPr>
            </w:pPr>
          </w:p>
        </w:tc>
        <w:tc>
          <w:tcPr>
            <w:tcW w:w="6640" w:type="dxa"/>
            <w:tcBorders>
              <w:bottom w:val="single" w:sz="8" w:space="0" w:color="auto"/>
              <w:right w:val="single" w:sz="8" w:space="0" w:color="auto"/>
            </w:tcBorders>
            <w:shd w:val="clear" w:color="auto" w:fill="auto"/>
            <w:vAlign w:val="bottom"/>
          </w:tcPr>
          <w:p w14:paraId="187D8578" w14:textId="77777777" w:rsidR="00E05D9F" w:rsidRDefault="00E05D9F">
            <w:pPr>
              <w:spacing w:line="0" w:lineRule="atLeast"/>
              <w:rPr>
                <w:rFonts w:ascii="Times New Roman" w:eastAsia="Times New Roman" w:hAnsi="Times New Roman"/>
                <w:sz w:val="10"/>
              </w:rPr>
            </w:pPr>
          </w:p>
        </w:tc>
        <w:tc>
          <w:tcPr>
            <w:tcW w:w="40" w:type="dxa"/>
            <w:shd w:val="clear" w:color="auto" w:fill="auto"/>
            <w:vAlign w:val="bottom"/>
          </w:tcPr>
          <w:p w14:paraId="22760983" w14:textId="77777777" w:rsidR="00E05D9F" w:rsidRDefault="00E05D9F">
            <w:pPr>
              <w:spacing w:line="0" w:lineRule="atLeast"/>
              <w:rPr>
                <w:rFonts w:ascii="Times New Roman" w:eastAsia="Times New Roman" w:hAnsi="Times New Roman"/>
                <w:sz w:val="10"/>
              </w:rPr>
            </w:pPr>
          </w:p>
        </w:tc>
      </w:tr>
      <w:tr w:rsidR="00E05D9F" w14:paraId="2D382BE2" w14:textId="77777777">
        <w:trPr>
          <w:trHeight w:val="261"/>
        </w:trPr>
        <w:tc>
          <w:tcPr>
            <w:tcW w:w="2080" w:type="dxa"/>
            <w:tcBorders>
              <w:left w:val="single" w:sz="8" w:space="0" w:color="auto"/>
              <w:right w:val="single" w:sz="8" w:space="0" w:color="auto"/>
            </w:tcBorders>
            <w:shd w:val="clear" w:color="auto" w:fill="auto"/>
            <w:vAlign w:val="bottom"/>
          </w:tcPr>
          <w:p w14:paraId="309E033B" w14:textId="77777777" w:rsidR="00E05D9F" w:rsidRDefault="00E05D9F">
            <w:pPr>
              <w:spacing w:line="261" w:lineRule="exact"/>
              <w:ind w:left="340"/>
              <w:rPr>
                <w:sz w:val="23"/>
              </w:rPr>
            </w:pPr>
            <w:r>
              <w:rPr>
                <w:sz w:val="23"/>
              </w:rPr>
              <w:t>FP</w:t>
            </w:r>
          </w:p>
        </w:tc>
        <w:tc>
          <w:tcPr>
            <w:tcW w:w="6640" w:type="dxa"/>
            <w:tcBorders>
              <w:right w:val="single" w:sz="8" w:space="0" w:color="auto"/>
            </w:tcBorders>
            <w:shd w:val="clear" w:color="auto" w:fill="auto"/>
            <w:vAlign w:val="bottom"/>
          </w:tcPr>
          <w:p w14:paraId="38EEC580" w14:textId="77777777" w:rsidR="00E05D9F" w:rsidRDefault="00E05D9F">
            <w:pPr>
              <w:spacing w:line="261" w:lineRule="exact"/>
              <w:ind w:left="300"/>
              <w:rPr>
                <w:sz w:val="23"/>
              </w:rPr>
            </w:pPr>
            <w:r>
              <w:rPr>
                <w:sz w:val="23"/>
              </w:rPr>
              <w:t>wartość finansowania publicznego projektu</w:t>
            </w:r>
          </w:p>
        </w:tc>
        <w:tc>
          <w:tcPr>
            <w:tcW w:w="40" w:type="dxa"/>
            <w:shd w:val="clear" w:color="auto" w:fill="auto"/>
            <w:vAlign w:val="bottom"/>
          </w:tcPr>
          <w:p w14:paraId="3B1B9BE3" w14:textId="77777777" w:rsidR="00E05D9F" w:rsidRDefault="00E05D9F">
            <w:pPr>
              <w:spacing w:line="0" w:lineRule="atLeast"/>
              <w:rPr>
                <w:rFonts w:ascii="Times New Roman" w:eastAsia="Times New Roman" w:hAnsi="Times New Roman"/>
                <w:sz w:val="22"/>
              </w:rPr>
            </w:pPr>
          </w:p>
        </w:tc>
      </w:tr>
      <w:tr w:rsidR="00E05D9F" w14:paraId="483BB171" w14:textId="77777777">
        <w:trPr>
          <w:trHeight w:val="140"/>
        </w:trPr>
        <w:tc>
          <w:tcPr>
            <w:tcW w:w="2080" w:type="dxa"/>
            <w:tcBorders>
              <w:left w:val="single" w:sz="8" w:space="0" w:color="auto"/>
              <w:bottom w:val="single" w:sz="8" w:space="0" w:color="auto"/>
              <w:right w:val="single" w:sz="8" w:space="0" w:color="auto"/>
            </w:tcBorders>
            <w:shd w:val="clear" w:color="auto" w:fill="auto"/>
            <w:vAlign w:val="bottom"/>
          </w:tcPr>
          <w:p w14:paraId="5EF83D77" w14:textId="77777777" w:rsidR="00E05D9F" w:rsidRDefault="00E05D9F">
            <w:pPr>
              <w:spacing w:line="0" w:lineRule="atLeast"/>
              <w:rPr>
                <w:rFonts w:ascii="Times New Roman" w:eastAsia="Times New Roman" w:hAnsi="Times New Roman"/>
                <w:sz w:val="12"/>
              </w:rPr>
            </w:pPr>
          </w:p>
        </w:tc>
        <w:tc>
          <w:tcPr>
            <w:tcW w:w="6640" w:type="dxa"/>
            <w:tcBorders>
              <w:bottom w:val="single" w:sz="8" w:space="0" w:color="auto"/>
              <w:right w:val="single" w:sz="8" w:space="0" w:color="auto"/>
            </w:tcBorders>
            <w:shd w:val="clear" w:color="auto" w:fill="auto"/>
            <w:vAlign w:val="bottom"/>
          </w:tcPr>
          <w:p w14:paraId="745AD931" w14:textId="77777777" w:rsidR="00E05D9F" w:rsidRDefault="00E05D9F">
            <w:pPr>
              <w:spacing w:line="0" w:lineRule="atLeast"/>
              <w:rPr>
                <w:rFonts w:ascii="Times New Roman" w:eastAsia="Times New Roman" w:hAnsi="Times New Roman"/>
                <w:sz w:val="12"/>
              </w:rPr>
            </w:pPr>
          </w:p>
        </w:tc>
        <w:tc>
          <w:tcPr>
            <w:tcW w:w="40" w:type="dxa"/>
            <w:shd w:val="clear" w:color="auto" w:fill="auto"/>
            <w:vAlign w:val="bottom"/>
          </w:tcPr>
          <w:p w14:paraId="5C4B1A45" w14:textId="77777777" w:rsidR="00E05D9F" w:rsidRDefault="00E05D9F">
            <w:pPr>
              <w:spacing w:line="0" w:lineRule="atLeast"/>
              <w:rPr>
                <w:rFonts w:ascii="Times New Roman" w:eastAsia="Times New Roman" w:hAnsi="Times New Roman"/>
                <w:sz w:val="12"/>
              </w:rPr>
            </w:pPr>
          </w:p>
        </w:tc>
      </w:tr>
      <w:tr w:rsidR="00E05D9F" w14:paraId="2E72DBB1" w14:textId="77777777">
        <w:trPr>
          <w:trHeight w:val="261"/>
        </w:trPr>
        <w:tc>
          <w:tcPr>
            <w:tcW w:w="2080" w:type="dxa"/>
            <w:tcBorders>
              <w:left w:val="single" w:sz="8" w:space="0" w:color="auto"/>
              <w:right w:val="single" w:sz="8" w:space="0" w:color="auto"/>
            </w:tcBorders>
            <w:shd w:val="clear" w:color="auto" w:fill="auto"/>
            <w:vAlign w:val="bottom"/>
          </w:tcPr>
          <w:p w14:paraId="351316DD" w14:textId="77777777" w:rsidR="00E05D9F" w:rsidRDefault="00E05D9F">
            <w:pPr>
              <w:spacing w:line="0" w:lineRule="atLeast"/>
              <w:rPr>
                <w:rFonts w:ascii="Times New Roman" w:eastAsia="Times New Roman" w:hAnsi="Times New Roman"/>
                <w:sz w:val="22"/>
              </w:rPr>
            </w:pPr>
          </w:p>
        </w:tc>
        <w:tc>
          <w:tcPr>
            <w:tcW w:w="6640" w:type="dxa"/>
            <w:tcBorders>
              <w:right w:val="single" w:sz="8" w:space="0" w:color="auto"/>
            </w:tcBorders>
            <w:shd w:val="clear" w:color="auto" w:fill="auto"/>
            <w:vAlign w:val="bottom"/>
          </w:tcPr>
          <w:p w14:paraId="3860FBD2" w14:textId="77777777" w:rsidR="00E05D9F" w:rsidRDefault="00E05D9F">
            <w:pPr>
              <w:spacing w:line="261" w:lineRule="exact"/>
              <w:ind w:left="300"/>
              <w:rPr>
                <w:sz w:val="23"/>
              </w:rPr>
            </w:pPr>
            <w:r>
              <w:rPr>
                <w:sz w:val="23"/>
              </w:rPr>
              <w:t>wyrażona w procentach intensywność dofinansowania publicznego</w:t>
            </w:r>
          </w:p>
        </w:tc>
        <w:tc>
          <w:tcPr>
            <w:tcW w:w="40" w:type="dxa"/>
            <w:shd w:val="clear" w:color="auto" w:fill="auto"/>
            <w:vAlign w:val="bottom"/>
          </w:tcPr>
          <w:p w14:paraId="7BA97177" w14:textId="77777777" w:rsidR="00E05D9F" w:rsidRDefault="00E05D9F">
            <w:pPr>
              <w:spacing w:line="0" w:lineRule="atLeast"/>
              <w:rPr>
                <w:rFonts w:ascii="Times New Roman" w:eastAsia="Times New Roman" w:hAnsi="Times New Roman"/>
                <w:sz w:val="22"/>
              </w:rPr>
            </w:pPr>
          </w:p>
        </w:tc>
      </w:tr>
      <w:tr w:rsidR="00E05D9F" w14:paraId="615A6D63" w14:textId="77777777">
        <w:trPr>
          <w:trHeight w:val="411"/>
        </w:trPr>
        <w:tc>
          <w:tcPr>
            <w:tcW w:w="2080" w:type="dxa"/>
            <w:tcBorders>
              <w:left w:val="single" w:sz="8" w:space="0" w:color="auto"/>
              <w:right w:val="single" w:sz="8" w:space="0" w:color="auto"/>
            </w:tcBorders>
            <w:shd w:val="clear" w:color="auto" w:fill="auto"/>
            <w:vAlign w:val="bottom"/>
          </w:tcPr>
          <w:p w14:paraId="0762D9B7" w14:textId="77777777" w:rsidR="00E05D9F" w:rsidRDefault="00E05D9F">
            <w:pPr>
              <w:spacing w:line="0" w:lineRule="atLeast"/>
              <w:ind w:left="340"/>
              <w:rPr>
                <w:sz w:val="13"/>
              </w:rPr>
            </w:pPr>
            <w:r>
              <w:rPr>
                <w:sz w:val="23"/>
              </w:rPr>
              <w:t>I</w:t>
            </w:r>
            <w:r>
              <w:rPr>
                <w:sz w:val="13"/>
              </w:rPr>
              <w:t>DG</w:t>
            </w:r>
          </w:p>
        </w:tc>
        <w:tc>
          <w:tcPr>
            <w:tcW w:w="6640" w:type="dxa"/>
            <w:tcBorders>
              <w:right w:val="single" w:sz="8" w:space="0" w:color="auto"/>
            </w:tcBorders>
            <w:shd w:val="clear" w:color="auto" w:fill="auto"/>
            <w:vAlign w:val="bottom"/>
          </w:tcPr>
          <w:p w14:paraId="7646EEBC" w14:textId="77777777" w:rsidR="00E05D9F" w:rsidRDefault="00E05D9F">
            <w:pPr>
              <w:spacing w:line="0" w:lineRule="atLeast"/>
              <w:ind w:left="300"/>
              <w:rPr>
                <w:w w:val="99"/>
                <w:sz w:val="23"/>
              </w:rPr>
            </w:pPr>
            <w:r>
              <w:rPr>
                <w:w w:val="99"/>
                <w:sz w:val="23"/>
              </w:rPr>
              <w:t>infrastruktury w zakresie działalności gospodarczej (dofinansowanie</w:t>
            </w:r>
          </w:p>
        </w:tc>
        <w:tc>
          <w:tcPr>
            <w:tcW w:w="40" w:type="dxa"/>
            <w:shd w:val="clear" w:color="auto" w:fill="auto"/>
            <w:vAlign w:val="bottom"/>
          </w:tcPr>
          <w:p w14:paraId="1A41976A" w14:textId="77777777" w:rsidR="00E05D9F" w:rsidRDefault="00E05D9F">
            <w:pPr>
              <w:spacing w:line="0" w:lineRule="atLeast"/>
              <w:rPr>
                <w:rFonts w:ascii="Times New Roman" w:eastAsia="Times New Roman" w:hAnsi="Times New Roman"/>
                <w:sz w:val="24"/>
              </w:rPr>
            </w:pPr>
          </w:p>
        </w:tc>
      </w:tr>
      <w:tr w:rsidR="00E05D9F" w14:paraId="7DF78EB8" w14:textId="77777777">
        <w:trPr>
          <w:trHeight w:val="385"/>
        </w:trPr>
        <w:tc>
          <w:tcPr>
            <w:tcW w:w="2080" w:type="dxa"/>
            <w:tcBorders>
              <w:left w:val="single" w:sz="8" w:space="0" w:color="auto"/>
              <w:right w:val="single" w:sz="8" w:space="0" w:color="auto"/>
            </w:tcBorders>
            <w:shd w:val="clear" w:color="auto" w:fill="auto"/>
            <w:vAlign w:val="bottom"/>
          </w:tcPr>
          <w:p w14:paraId="65234B6D" w14:textId="77777777" w:rsidR="00E05D9F" w:rsidRDefault="00E05D9F">
            <w:pPr>
              <w:spacing w:line="0" w:lineRule="atLeast"/>
              <w:rPr>
                <w:rFonts w:ascii="Times New Roman" w:eastAsia="Times New Roman" w:hAnsi="Times New Roman"/>
                <w:sz w:val="24"/>
              </w:rPr>
            </w:pPr>
          </w:p>
        </w:tc>
        <w:tc>
          <w:tcPr>
            <w:tcW w:w="6640" w:type="dxa"/>
            <w:tcBorders>
              <w:right w:val="single" w:sz="8" w:space="0" w:color="auto"/>
            </w:tcBorders>
            <w:shd w:val="clear" w:color="auto" w:fill="auto"/>
            <w:vAlign w:val="bottom"/>
          </w:tcPr>
          <w:p w14:paraId="161173FC" w14:textId="77777777" w:rsidR="00E05D9F" w:rsidRDefault="00E05D9F">
            <w:pPr>
              <w:spacing w:line="0" w:lineRule="atLeast"/>
              <w:ind w:left="300"/>
              <w:rPr>
                <w:sz w:val="23"/>
              </w:rPr>
            </w:pPr>
            <w:r>
              <w:rPr>
                <w:sz w:val="23"/>
              </w:rPr>
              <w:t>stanowiące pomoc publiczną)</w:t>
            </w:r>
          </w:p>
        </w:tc>
        <w:tc>
          <w:tcPr>
            <w:tcW w:w="40" w:type="dxa"/>
            <w:shd w:val="clear" w:color="auto" w:fill="auto"/>
            <w:vAlign w:val="bottom"/>
          </w:tcPr>
          <w:p w14:paraId="369B46CA" w14:textId="77777777" w:rsidR="00E05D9F" w:rsidRDefault="00E05D9F">
            <w:pPr>
              <w:spacing w:line="0" w:lineRule="atLeast"/>
              <w:rPr>
                <w:rFonts w:ascii="Times New Roman" w:eastAsia="Times New Roman" w:hAnsi="Times New Roman"/>
                <w:sz w:val="24"/>
              </w:rPr>
            </w:pPr>
          </w:p>
        </w:tc>
      </w:tr>
      <w:tr w:rsidR="00E05D9F" w14:paraId="0DFE3066" w14:textId="77777777">
        <w:trPr>
          <w:trHeight w:val="139"/>
        </w:trPr>
        <w:tc>
          <w:tcPr>
            <w:tcW w:w="2080" w:type="dxa"/>
            <w:tcBorders>
              <w:left w:val="single" w:sz="8" w:space="0" w:color="auto"/>
              <w:bottom w:val="single" w:sz="8" w:space="0" w:color="auto"/>
              <w:right w:val="single" w:sz="8" w:space="0" w:color="auto"/>
            </w:tcBorders>
            <w:shd w:val="clear" w:color="auto" w:fill="auto"/>
            <w:vAlign w:val="bottom"/>
          </w:tcPr>
          <w:p w14:paraId="1D2B12CB" w14:textId="77777777" w:rsidR="00E05D9F" w:rsidRDefault="00E05D9F">
            <w:pPr>
              <w:spacing w:line="0" w:lineRule="atLeast"/>
              <w:rPr>
                <w:rFonts w:ascii="Times New Roman" w:eastAsia="Times New Roman" w:hAnsi="Times New Roman"/>
                <w:sz w:val="12"/>
              </w:rPr>
            </w:pPr>
          </w:p>
        </w:tc>
        <w:tc>
          <w:tcPr>
            <w:tcW w:w="6640" w:type="dxa"/>
            <w:tcBorders>
              <w:bottom w:val="single" w:sz="8" w:space="0" w:color="auto"/>
              <w:right w:val="single" w:sz="8" w:space="0" w:color="auto"/>
            </w:tcBorders>
            <w:shd w:val="clear" w:color="auto" w:fill="auto"/>
            <w:vAlign w:val="bottom"/>
          </w:tcPr>
          <w:p w14:paraId="187CC998" w14:textId="77777777" w:rsidR="00E05D9F" w:rsidRDefault="00E05D9F">
            <w:pPr>
              <w:spacing w:line="0" w:lineRule="atLeast"/>
              <w:rPr>
                <w:rFonts w:ascii="Times New Roman" w:eastAsia="Times New Roman" w:hAnsi="Times New Roman"/>
                <w:sz w:val="12"/>
              </w:rPr>
            </w:pPr>
          </w:p>
        </w:tc>
        <w:tc>
          <w:tcPr>
            <w:tcW w:w="40" w:type="dxa"/>
            <w:shd w:val="clear" w:color="auto" w:fill="auto"/>
            <w:vAlign w:val="bottom"/>
          </w:tcPr>
          <w:p w14:paraId="064E8984" w14:textId="77777777" w:rsidR="00E05D9F" w:rsidRDefault="00E05D9F">
            <w:pPr>
              <w:spacing w:line="0" w:lineRule="atLeast"/>
              <w:rPr>
                <w:rFonts w:ascii="Times New Roman" w:eastAsia="Times New Roman" w:hAnsi="Times New Roman"/>
                <w:sz w:val="12"/>
              </w:rPr>
            </w:pPr>
          </w:p>
        </w:tc>
      </w:tr>
      <w:tr w:rsidR="00E05D9F" w14:paraId="63220168" w14:textId="77777777">
        <w:trPr>
          <w:trHeight w:val="261"/>
        </w:trPr>
        <w:tc>
          <w:tcPr>
            <w:tcW w:w="2080" w:type="dxa"/>
            <w:tcBorders>
              <w:left w:val="single" w:sz="8" w:space="0" w:color="auto"/>
              <w:right w:val="single" w:sz="8" w:space="0" w:color="auto"/>
            </w:tcBorders>
            <w:shd w:val="clear" w:color="auto" w:fill="auto"/>
            <w:vAlign w:val="bottom"/>
          </w:tcPr>
          <w:p w14:paraId="6B93694E" w14:textId="77777777" w:rsidR="00E05D9F" w:rsidRDefault="00E05D9F">
            <w:pPr>
              <w:spacing w:line="0" w:lineRule="atLeast"/>
              <w:rPr>
                <w:rFonts w:ascii="Times New Roman" w:eastAsia="Times New Roman" w:hAnsi="Times New Roman"/>
                <w:sz w:val="22"/>
              </w:rPr>
            </w:pPr>
          </w:p>
        </w:tc>
        <w:tc>
          <w:tcPr>
            <w:tcW w:w="6640" w:type="dxa"/>
            <w:tcBorders>
              <w:right w:val="single" w:sz="8" w:space="0" w:color="auto"/>
            </w:tcBorders>
            <w:shd w:val="clear" w:color="auto" w:fill="auto"/>
            <w:vAlign w:val="bottom"/>
          </w:tcPr>
          <w:p w14:paraId="113BD4A4" w14:textId="77777777" w:rsidR="00E05D9F" w:rsidRDefault="00E05D9F">
            <w:pPr>
              <w:spacing w:line="261" w:lineRule="exact"/>
              <w:ind w:left="300"/>
              <w:rPr>
                <w:sz w:val="23"/>
              </w:rPr>
            </w:pPr>
            <w:r>
              <w:rPr>
                <w:sz w:val="23"/>
              </w:rPr>
              <w:t>wyrażona w procentach intensywność finansowania publicznego</w:t>
            </w:r>
          </w:p>
        </w:tc>
        <w:tc>
          <w:tcPr>
            <w:tcW w:w="40" w:type="dxa"/>
            <w:shd w:val="clear" w:color="auto" w:fill="auto"/>
            <w:vAlign w:val="bottom"/>
          </w:tcPr>
          <w:p w14:paraId="3F59626F" w14:textId="77777777" w:rsidR="00E05D9F" w:rsidRDefault="00E05D9F">
            <w:pPr>
              <w:spacing w:line="0" w:lineRule="atLeast"/>
              <w:rPr>
                <w:rFonts w:ascii="Times New Roman" w:eastAsia="Times New Roman" w:hAnsi="Times New Roman"/>
                <w:sz w:val="22"/>
              </w:rPr>
            </w:pPr>
          </w:p>
        </w:tc>
      </w:tr>
      <w:tr w:rsidR="00E05D9F" w14:paraId="644A43C6" w14:textId="77777777">
        <w:trPr>
          <w:trHeight w:val="411"/>
        </w:trPr>
        <w:tc>
          <w:tcPr>
            <w:tcW w:w="2080" w:type="dxa"/>
            <w:tcBorders>
              <w:left w:val="single" w:sz="8" w:space="0" w:color="auto"/>
              <w:right w:val="single" w:sz="8" w:space="0" w:color="auto"/>
            </w:tcBorders>
            <w:shd w:val="clear" w:color="auto" w:fill="auto"/>
            <w:vAlign w:val="bottom"/>
          </w:tcPr>
          <w:p w14:paraId="2A9CDEC1" w14:textId="77777777" w:rsidR="00E05D9F" w:rsidRDefault="00E05D9F">
            <w:pPr>
              <w:spacing w:line="0" w:lineRule="atLeast"/>
              <w:ind w:left="340"/>
              <w:rPr>
                <w:sz w:val="13"/>
              </w:rPr>
            </w:pPr>
            <w:r>
              <w:rPr>
                <w:sz w:val="23"/>
              </w:rPr>
              <w:t>I</w:t>
            </w:r>
            <w:r>
              <w:rPr>
                <w:sz w:val="13"/>
              </w:rPr>
              <w:t>DNG</w:t>
            </w:r>
          </w:p>
        </w:tc>
        <w:tc>
          <w:tcPr>
            <w:tcW w:w="6640" w:type="dxa"/>
            <w:tcBorders>
              <w:right w:val="single" w:sz="8" w:space="0" w:color="auto"/>
            </w:tcBorders>
            <w:shd w:val="clear" w:color="auto" w:fill="auto"/>
            <w:vAlign w:val="bottom"/>
          </w:tcPr>
          <w:p w14:paraId="5F1A6223" w14:textId="77777777" w:rsidR="00E05D9F" w:rsidRDefault="00E05D9F">
            <w:pPr>
              <w:spacing w:line="0" w:lineRule="atLeast"/>
              <w:ind w:left="300"/>
              <w:rPr>
                <w:sz w:val="23"/>
              </w:rPr>
            </w:pPr>
            <w:r>
              <w:rPr>
                <w:sz w:val="23"/>
              </w:rPr>
              <w:t>infrastruktury w zakresie działalności niegospodarczej</w:t>
            </w:r>
          </w:p>
        </w:tc>
        <w:tc>
          <w:tcPr>
            <w:tcW w:w="40" w:type="dxa"/>
            <w:shd w:val="clear" w:color="auto" w:fill="auto"/>
            <w:vAlign w:val="bottom"/>
          </w:tcPr>
          <w:p w14:paraId="1233B242" w14:textId="77777777" w:rsidR="00E05D9F" w:rsidRDefault="00E05D9F">
            <w:pPr>
              <w:spacing w:line="0" w:lineRule="atLeast"/>
              <w:rPr>
                <w:rFonts w:ascii="Times New Roman" w:eastAsia="Times New Roman" w:hAnsi="Times New Roman"/>
                <w:sz w:val="24"/>
              </w:rPr>
            </w:pPr>
          </w:p>
        </w:tc>
      </w:tr>
      <w:tr w:rsidR="00E05D9F" w14:paraId="77437ED6" w14:textId="77777777">
        <w:trPr>
          <w:trHeight w:val="399"/>
        </w:trPr>
        <w:tc>
          <w:tcPr>
            <w:tcW w:w="2080" w:type="dxa"/>
            <w:tcBorders>
              <w:left w:val="single" w:sz="8" w:space="0" w:color="auto"/>
              <w:right w:val="single" w:sz="8" w:space="0" w:color="auto"/>
            </w:tcBorders>
            <w:shd w:val="clear" w:color="auto" w:fill="auto"/>
            <w:vAlign w:val="bottom"/>
          </w:tcPr>
          <w:p w14:paraId="1016ECCE" w14:textId="77777777" w:rsidR="00E05D9F" w:rsidRDefault="00E05D9F">
            <w:pPr>
              <w:spacing w:line="0" w:lineRule="atLeast"/>
              <w:rPr>
                <w:rFonts w:ascii="Times New Roman" w:eastAsia="Times New Roman" w:hAnsi="Times New Roman"/>
                <w:sz w:val="24"/>
              </w:rPr>
            </w:pPr>
          </w:p>
        </w:tc>
        <w:tc>
          <w:tcPr>
            <w:tcW w:w="6640" w:type="dxa"/>
            <w:tcBorders>
              <w:right w:val="single" w:sz="8" w:space="0" w:color="auto"/>
            </w:tcBorders>
            <w:shd w:val="clear" w:color="auto" w:fill="auto"/>
            <w:vAlign w:val="bottom"/>
          </w:tcPr>
          <w:p w14:paraId="5A876790" w14:textId="77777777" w:rsidR="00E05D9F" w:rsidRDefault="00E05D9F">
            <w:pPr>
              <w:spacing w:line="0" w:lineRule="atLeast"/>
              <w:ind w:left="300"/>
              <w:rPr>
                <w:sz w:val="23"/>
              </w:rPr>
            </w:pPr>
            <w:r>
              <w:rPr>
                <w:sz w:val="23"/>
              </w:rPr>
              <w:t>(dofinansowanie niestanowiące pomocy publicznej)</w:t>
            </w:r>
          </w:p>
        </w:tc>
        <w:tc>
          <w:tcPr>
            <w:tcW w:w="40" w:type="dxa"/>
            <w:shd w:val="clear" w:color="auto" w:fill="auto"/>
            <w:vAlign w:val="bottom"/>
          </w:tcPr>
          <w:p w14:paraId="179CD928" w14:textId="77777777" w:rsidR="00E05D9F" w:rsidRDefault="00E05D9F">
            <w:pPr>
              <w:spacing w:line="0" w:lineRule="atLeast"/>
              <w:rPr>
                <w:rFonts w:ascii="Times New Roman" w:eastAsia="Times New Roman" w:hAnsi="Times New Roman"/>
                <w:sz w:val="24"/>
              </w:rPr>
            </w:pPr>
          </w:p>
        </w:tc>
      </w:tr>
      <w:tr w:rsidR="00E05D9F" w14:paraId="56D4EBDF" w14:textId="77777777">
        <w:trPr>
          <w:trHeight w:val="124"/>
        </w:trPr>
        <w:tc>
          <w:tcPr>
            <w:tcW w:w="2080" w:type="dxa"/>
            <w:tcBorders>
              <w:left w:val="single" w:sz="8" w:space="0" w:color="auto"/>
              <w:bottom w:val="single" w:sz="8" w:space="0" w:color="auto"/>
              <w:right w:val="single" w:sz="8" w:space="0" w:color="auto"/>
            </w:tcBorders>
            <w:shd w:val="clear" w:color="auto" w:fill="auto"/>
            <w:vAlign w:val="bottom"/>
          </w:tcPr>
          <w:p w14:paraId="7365D77E" w14:textId="77777777" w:rsidR="00E05D9F" w:rsidRDefault="00E05D9F">
            <w:pPr>
              <w:spacing w:line="0" w:lineRule="atLeast"/>
              <w:rPr>
                <w:rFonts w:ascii="Times New Roman" w:eastAsia="Times New Roman" w:hAnsi="Times New Roman"/>
                <w:sz w:val="10"/>
              </w:rPr>
            </w:pPr>
          </w:p>
        </w:tc>
        <w:tc>
          <w:tcPr>
            <w:tcW w:w="6640" w:type="dxa"/>
            <w:tcBorders>
              <w:bottom w:val="single" w:sz="8" w:space="0" w:color="auto"/>
              <w:right w:val="single" w:sz="8" w:space="0" w:color="auto"/>
            </w:tcBorders>
            <w:shd w:val="clear" w:color="auto" w:fill="auto"/>
            <w:vAlign w:val="bottom"/>
          </w:tcPr>
          <w:p w14:paraId="2508F170" w14:textId="77777777" w:rsidR="00E05D9F" w:rsidRDefault="00E05D9F">
            <w:pPr>
              <w:spacing w:line="0" w:lineRule="atLeast"/>
              <w:rPr>
                <w:rFonts w:ascii="Times New Roman" w:eastAsia="Times New Roman" w:hAnsi="Times New Roman"/>
                <w:sz w:val="10"/>
              </w:rPr>
            </w:pPr>
          </w:p>
        </w:tc>
        <w:tc>
          <w:tcPr>
            <w:tcW w:w="40" w:type="dxa"/>
            <w:shd w:val="clear" w:color="auto" w:fill="auto"/>
            <w:vAlign w:val="bottom"/>
          </w:tcPr>
          <w:p w14:paraId="6323287B" w14:textId="77777777" w:rsidR="00E05D9F" w:rsidRDefault="00E05D9F">
            <w:pPr>
              <w:spacing w:line="0" w:lineRule="atLeast"/>
              <w:rPr>
                <w:rFonts w:ascii="Times New Roman" w:eastAsia="Times New Roman" w:hAnsi="Times New Roman"/>
                <w:sz w:val="10"/>
              </w:rPr>
            </w:pPr>
          </w:p>
        </w:tc>
      </w:tr>
      <w:tr w:rsidR="00E05D9F" w14:paraId="7B0B87C7" w14:textId="77777777">
        <w:trPr>
          <w:trHeight w:val="267"/>
        </w:trPr>
        <w:tc>
          <w:tcPr>
            <w:tcW w:w="2080" w:type="dxa"/>
            <w:tcBorders>
              <w:left w:val="single" w:sz="8" w:space="0" w:color="auto"/>
              <w:right w:val="single" w:sz="8" w:space="0" w:color="auto"/>
            </w:tcBorders>
            <w:shd w:val="clear" w:color="auto" w:fill="auto"/>
            <w:vAlign w:val="bottom"/>
          </w:tcPr>
          <w:p w14:paraId="4169A726" w14:textId="77777777" w:rsidR="00E05D9F" w:rsidRDefault="00E05D9F">
            <w:pPr>
              <w:spacing w:line="267" w:lineRule="exact"/>
              <w:ind w:left="340"/>
              <w:rPr>
                <w:sz w:val="13"/>
              </w:rPr>
            </w:pPr>
            <w:r>
              <w:rPr>
                <w:sz w:val="23"/>
              </w:rPr>
              <w:t>K</w:t>
            </w:r>
            <w:r>
              <w:rPr>
                <w:sz w:val="13"/>
              </w:rPr>
              <w:t>brutto/netto</w:t>
            </w:r>
          </w:p>
        </w:tc>
        <w:tc>
          <w:tcPr>
            <w:tcW w:w="6640" w:type="dxa"/>
            <w:tcBorders>
              <w:right w:val="single" w:sz="8" w:space="0" w:color="auto"/>
            </w:tcBorders>
            <w:shd w:val="clear" w:color="auto" w:fill="auto"/>
            <w:vAlign w:val="bottom"/>
          </w:tcPr>
          <w:p w14:paraId="0D3E2E2E" w14:textId="77777777" w:rsidR="00E05D9F" w:rsidRDefault="00E05D9F">
            <w:pPr>
              <w:spacing w:line="261" w:lineRule="exact"/>
              <w:ind w:left="300"/>
              <w:rPr>
                <w:sz w:val="23"/>
              </w:rPr>
            </w:pPr>
            <w:r>
              <w:rPr>
                <w:sz w:val="23"/>
              </w:rPr>
              <w:t>koszty brutto/netto nabycia lub wytworzenia infrastruktury</w:t>
            </w:r>
          </w:p>
        </w:tc>
        <w:tc>
          <w:tcPr>
            <w:tcW w:w="40" w:type="dxa"/>
            <w:shd w:val="clear" w:color="auto" w:fill="auto"/>
            <w:vAlign w:val="bottom"/>
          </w:tcPr>
          <w:p w14:paraId="257E583B" w14:textId="77777777" w:rsidR="00E05D9F" w:rsidRDefault="00E05D9F">
            <w:pPr>
              <w:spacing w:line="0" w:lineRule="atLeast"/>
              <w:rPr>
                <w:rFonts w:ascii="Times New Roman" w:eastAsia="Times New Roman" w:hAnsi="Times New Roman"/>
                <w:sz w:val="23"/>
              </w:rPr>
            </w:pPr>
          </w:p>
        </w:tc>
      </w:tr>
      <w:tr w:rsidR="00E05D9F" w14:paraId="7D2306CB" w14:textId="77777777">
        <w:trPr>
          <w:trHeight w:val="134"/>
        </w:trPr>
        <w:tc>
          <w:tcPr>
            <w:tcW w:w="2080" w:type="dxa"/>
            <w:tcBorders>
              <w:left w:val="single" w:sz="8" w:space="0" w:color="auto"/>
              <w:bottom w:val="single" w:sz="8" w:space="0" w:color="auto"/>
              <w:right w:val="single" w:sz="8" w:space="0" w:color="auto"/>
            </w:tcBorders>
            <w:shd w:val="clear" w:color="auto" w:fill="auto"/>
            <w:vAlign w:val="bottom"/>
          </w:tcPr>
          <w:p w14:paraId="0464CDEA" w14:textId="77777777" w:rsidR="00E05D9F" w:rsidRDefault="00E05D9F">
            <w:pPr>
              <w:spacing w:line="0" w:lineRule="atLeast"/>
              <w:rPr>
                <w:rFonts w:ascii="Times New Roman" w:eastAsia="Times New Roman" w:hAnsi="Times New Roman"/>
                <w:sz w:val="11"/>
              </w:rPr>
            </w:pPr>
          </w:p>
        </w:tc>
        <w:tc>
          <w:tcPr>
            <w:tcW w:w="6640" w:type="dxa"/>
            <w:tcBorders>
              <w:bottom w:val="single" w:sz="8" w:space="0" w:color="auto"/>
              <w:right w:val="single" w:sz="8" w:space="0" w:color="auto"/>
            </w:tcBorders>
            <w:shd w:val="clear" w:color="auto" w:fill="auto"/>
            <w:vAlign w:val="bottom"/>
          </w:tcPr>
          <w:p w14:paraId="2A3C3DC9" w14:textId="77777777" w:rsidR="00E05D9F" w:rsidRDefault="00E05D9F">
            <w:pPr>
              <w:spacing w:line="0" w:lineRule="atLeast"/>
              <w:rPr>
                <w:rFonts w:ascii="Times New Roman" w:eastAsia="Times New Roman" w:hAnsi="Times New Roman"/>
                <w:sz w:val="11"/>
              </w:rPr>
            </w:pPr>
          </w:p>
        </w:tc>
        <w:tc>
          <w:tcPr>
            <w:tcW w:w="40" w:type="dxa"/>
            <w:shd w:val="clear" w:color="auto" w:fill="auto"/>
            <w:vAlign w:val="bottom"/>
          </w:tcPr>
          <w:p w14:paraId="641B0F33" w14:textId="77777777" w:rsidR="00E05D9F" w:rsidRDefault="00E05D9F">
            <w:pPr>
              <w:spacing w:line="0" w:lineRule="atLeast"/>
              <w:rPr>
                <w:rFonts w:ascii="Times New Roman" w:eastAsia="Times New Roman" w:hAnsi="Times New Roman"/>
                <w:sz w:val="11"/>
              </w:rPr>
            </w:pPr>
          </w:p>
        </w:tc>
      </w:tr>
      <w:tr w:rsidR="00E05D9F" w14:paraId="6B68C9F9" w14:textId="77777777">
        <w:trPr>
          <w:trHeight w:val="261"/>
        </w:trPr>
        <w:tc>
          <w:tcPr>
            <w:tcW w:w="2080" w:type="dxa"/>
            <w:vMerge w:val="restart"/>
            <w:tcBorders>
              <w:left w:val="single" w:sz="8" w:space="0" w:color="auto"/>
              <w:right w:val="single" w:sz="8" w:space="0" w:color="auto"/>
            </w:tcBorders>
            <w:shd w:val="clear" w:color="auto" w:fill="auto"/>
            <w:vAlign w:val="bottom"/>
          </w:tcPr>
          <w:p w14:paraId="43C88FD5" w14:textId="77777777" w:rsidR="00E05D9F" w:rsidRDefault="00E05D9F">
            <w:pPr>
              <w:spacing w:line="0" w:lineRule="atLeast"/>
              <w:ind w:left="340"/>
              <w:rPr>
                <w:sz w:val="13"/>
              </w:rPr>
            </w:pPr>
            <w:r>
              <w:rPr>
                <w:sz w:val="23"/>
              </w:rPr>
              <w:t>KDG</w:t>
            </w:r>
            <w:r>
              <w:rPr>
                <w:sz w:val="13"/>
              </w:rPr>
              <w:t>brutto/netto</w:t>
            </w:r>
          </w:p>
        </w:tc>
        <w:tc>
          <w:tcPr>
            <w:tcW w:w="6640" w:type="dxa"/>
            <w:tcBorders>
              <w:right w:val="single" w:sz="8" w:space="0" w:color="auto"/>
            </w:tcBorders>
            <w:shd w:val="clear" w:color="auto" w:fill="auto"/>
            <w:vAlign w:val="bottom"/>
          </w:tcPr>
          <w:p w14:paraId="0042C26A" w14:textId="77777777" w:rsidR="00E05D9F" w:rsidRDefault="00E05D9F">
            <w:pPr>
              <w:spacing w:line="261" w:lineRule="exact"/>
              <w:ind w:left="300"/>
              <w:rPr>
                <w:sz w:val="23"/>
              </w:rPr>
            </w:pPr>
            <w:r>
              <w:rPr>
                <w:sz w:val="23"/>
              </w:rPr>
              <w:t>koszty brutto/netto infrastruktury przypadające na działalność</w:t>
            </w:r>
          </w:p>
        </w:tc>
        <w:tc>
          <w:tcPr>
            <w:tcW w:w="40" w:type="dxa"/>
            <w:shd w:val="clear" w:color="auto" w:fill="auto"/>
            <w:vAlign w:val="bottom"/>
          </w:tcPr>
          <w:p w14:paraId="1C28FC6E" w14:textId="77777777" w:rsidR="00E05D9F" w:rsidRDefault="00E05D9F">
            <w:pPr>
              <w:spacing w:line="0" w:lineRule="atLeast"/>
              <w:rPr>
                <w:rFonts w:ascii="Times New Roman" w:eastAsia="Times New Roman" w:hAnsi="Times New Roman"/>
                <w:sz w:val="22"/>
              </w:rPr>
            </w:pPr>
          </w:p>
        </w:tc>
      </w:tr>
      <w:tr w:rsidR="00E05D9F" w14:paraId="195EC1A8" w14:textId="77777777">
        <w:trPr>
          <w:trHeight w:val="201"/>
        </w:trPr>
        <w:tc>
          <w:tcPr>
            <w:tcW w:w="2080" w:type="dxa"/>
            <w:vMerge/>
            <w:tcBorders>
              <w:left w:val="single" w:sz="8" w:space="0" w:color="auto"/>
              <w:right w:val="single" w:sz="8" w:space="0" w:color="auto"/>
            </w:tcBorders>
            <w:shd w:val="clear" w:color="auto" w:fill="auto"/>
            <w:vAlign w:val="bottom"/>
          </w:tcPr>
          <w:p w14:paraId="2E193EA8" w14:textId="77777777" w:rsidR="00E05D9F" w:rsidRDefault="00E05D9F">
            <w:pPr>
              <w:spacing w:line="0" w:lineRule="atLeast"/>
              <w:rPr>
                <w:rFonts w:ascii="Times New Roman" w:eastAsia="Times New Roman" w:hAnsi="Times New Roman"/>
                <w:sz w:val="17"/>
              </w:rPr>
            </w:pPr>
          </w:p>
        </w:tc>
        <w:tc>
          <w:tcPr>
            <w:tcW w:w="6640" w:type="dxa"/>
            <w:vMerge w:val="restart"/>
            <w:tcBorders>
              <w:right w:val="single" w:sz="8" w:space="0" w:color="auto"/>
            </w:tcBorders>
            <w:shd w:val="clear" w:color="auto" w:fill="auto"/>
            <w:vAlign w:val="bottom"/>
          </w:tcPr>
          <w:p w14:paraId="19858DC6" w14:textId="77777777" w:rsidR="00E05D9F" w:rsidRDefault="00E05D9F">
            <w:pPr>
              <w:spacing w:line="0" w:lineRule="atLeast"/>
              <w:ind w:left="300"/>
              <w:rPr>
                <w:sz w:val="23"/>
              </w:rPr>
            </w:pPr>
            <w:r>
              <w:rPr>
                <w:sz w:val="23"/>
              </w:rPr>
              <w:t>gospodarczą</w:t>
            </w:r>
          </w:p>
        </w:tc>
        <w:tc>
          <w:tcPr>
            <w:tcW w:w="40" w:type="dxa"/>
            <w:shd w:val="clear" w:color="auto" w:fill="auto"/>
            <w:vAlign w:val="bottom"/>
          </w:tcPr>
          <w:p w14:paraId="339C9722" w14:textId="77777777" w:rsidR="00E05D9F" w:rsidRDefault="00E05D9F">
            <w:pPr>
              <w:spacing w:line="0" w:lineRule="atLeast"/>
              <w:rPr>
                <w:rFonts w:ascii="Times New Roman" w:eastAsia="Times New Roman" w:hAnsi="Times New Roman"/>
                <w:sz w:val="17"/>
              </w:rPr>
            </w:pPr>
          </w:p>
        </w:tc>
      </w:tr>
      <w:tr w:rsidR="00E05D9F" w14:paraId="5526FC06" w14:textId="77777777">
        <w:trPr>
          <w:trHeight w:val="204"/>
        </w:trPr>
        <w:tc>
          <w:tcPr>
            <w:tcW w:w="2080" w:type="dxa"/>
            <w:tcBorders>
              <w:left w:val="single" w:sz="8" w:space="0" w:color="auto"/>
              <w:right w:val="single" w:sz="8" w:space="0" w:color="auto"/>
            </w:tcBorders>
            <w:shd w:val="clear" w:color="auto" w:fill="auto"/>
            <w:vAlign w:val="bottom"/>
          </w:tcPr>
          <w:p w14:paraId="6337F663" w14:textId="77777777" w:rsidR="00E05D9F" w:rsidRDefault="00E05D9F">
            <w:pPr>
              <w:spacing w:line="0" w:lineRule="atLeast"/>
              <w:rPr>
                <w:rFonts w:ascii="Times New Roman" w:eastAsia="Times New Roman" w:hAnsi="Times New Roman"/>
                <w:sz w:val="17"/>
              </w:rPr>
            </w:pPr>
          </w:p>
        </w:tc>
        <w:tc>
          <w:tcPr>
            <w:tcW w:w="6640" w:type="dxa"/>
            <w:vMerge/>
            <w:tcBorders>
              <w:right w:val="single" w:sz="8" w:space="0" w:color="auto"/>
            </w:tcBorders>
            <w:shd w:val="clear" w:color="auto" w:fill="auto"/>
            <w:vAlign w:val="bottom"/>
          </w:tcPr>
          <w:p w14:paraId="74F4222E" w14:textId="77777777" w:rsidR="00E05D9F" w:rsidRDefault="00E05D9F">
            <w:pPr>
              <w:spacing w:line="0" w:lineRule="atLeast"/>
              <w:rPr>
                <w:rFonts w:ascii="Times New Roman" w:eastAsia="Times New Roman" w:hAnsi="Times New Roman"/>
                <w:sz w:val="17"/>
              </w:rPr>
            </w:pPr>
          </w:p>
        </w:tc>
        <w:tc>
          <w:tcPr>
            <w:tcW w:w="40" w:type="dxa"/>
            <w:shd w:val="clear" w:color="auto" w:fill="auto"/>
            <w:vAlign w:val="bottom"/>
          </w:tcPr>
          <w:p w14:paraId="54D04655" w14:textId="77777777" w:rsidR="00E05D9F" w:rsidRDefault="00E05D9F">
            <w:pPr>
              <w:spacing w:line="0" w:lineRule="atLeast"/>
              <w:rPr>
                <w:rFonts w:ascii="Times New Roman" w:eastAsia="Times New Roman" w:hAnsi="Times New Roman"/>
                <w:sz w:val="17"/>
              </w:rPr>
            </w:pPr>
          </w:p>
        </w:tc>
      </w:tr>
      <w:tr w:rsidR="00E05D9F" w14:paraId="0A339A1E" w14:textId="77777777">
        <w:trPr>
          <w:trHeight w:val="124"/>
        </w:trPr>
        <w:tc>
          <w:tcPr>
            <w:tcW w:w="2080" w:type="dxa"/>
            <w:tcBorders>
              <w:left w:val="single" w:sz="8" w:space="0" w:color="auto"/>
              <w:bottom w:val="single" w:sz="8" w:space="0" w:color="auto"/>
              <w:right w:val="single" w:sz="8" w:space="0" w:color="auto"/>
            </w:tcBorders>
            <w:shd w:val="clear" w:color="auto" w:fill="auto"/>
            <w:vAlign w:val="bottom"/>
          </w:tcPr>
          <w:p w14:paraId="539F6784" w14:textId="77777777" w:rsidR="00E05D9F" w:rsidRDefault="00E05D9F">
            <w:pPr>
              <w:spacing w:line="0" w:lineRule="atLeast"/>
              <w:rPr>
                <w:rFonts w:ascii="Times New Roman" w:eastAsia="Times New Roman" w:hAnsi="Times New Roman"/>
                <w:sz w:val="10"/>
              </w:rPr>
            </w:pPr>
          </w:p>
        </w:tc>
        <w:tc>
          <w:tcPr>
            <w:tcW w:w="6640" w:type="dxa"/>
            <w:tcBorders>
              <w:bottom w:val="single" w:sz="8" w:space="0" w:color="auto"/>
              <w:right w:val="single" w:sz="8" w:space="0" w:color="auto"/>
            </w:tcBorders>
            <w:shd w:val="clear" w:color="auto" w:fill="auto"/>
            <w:vAlign w:val="bottom"/>
          </w:tcPr>
          <w:p w14:paraId="25531E07" w14:textId="77777777" w:rsidR="00E05D9F" w:rsidRDefault="00E05D9F">
            <w:pPr>
              <w:spacing w:line="0" w:lineRule="atLeast"/>
              <w:rPr>
                <w:rFonts w:ascii="Times New Roman" w:eastAsia="Times New Roman" w:hAnsi="Times New Roman"/>
                <w:sz w:val="10"/>
              </w:rPr>
            </w:pPr>
          </w:p>
        </w:tc>
        <w:tc>
          <w:tcPr>
            <w:tcW w:w="40" w:type="dxa"/>
            <w:shd w:val="clear" w:color="auto" w:fill="auto"/>
            <w:vAlign w:val="bottom"/>
          </w:tcPr>
          <w:p w14:paraId="00B3BBAD" w14:textId="77777777" w:rsidR="00E05D9F" w:rsidRDefault="00E05D9F">
            <w:pPr>
              <w:spacing w:line="0" w:lineRule="atLeast"/>
              <w:rPr>
                <w:rFonts w:ascii="Times New Roman" w:eastAsia="Times New Roman" w:hAnsi="Times New Roman"/>
                <w:sz w:val="10"/>
              </w:rPr>
            </w:pPr>
          </w:p>
        </w:tc>
      </w:tr>
      <w:tr w:rsidR="00E05D9F" w14:paraId="68ACA9B1" w14:textId="77777777">
        <w:trPr>
          <w:trHeight w:val="261"/>
        </w:trPr>
        <w:tc>
          <w:tcPr>
            <w:tcW w:w="2080" w:type="dxa"/>
            <w:vMerge w:val="restart"/>
            <w:tcBorders>
              <w:left w:val="single" w:sz="8" w:space="0" w:color="auto"/>
              <w:right w:val="single" w:sz="8" w:space="0" w:color="auto"/>
            </w:tcBorders>
            <w:shd w:val="clear" w:color="auto" w:fill="auto"/>
            <w:vAlign w:val="bottom"/>
          </w:tcPr>
          <w:p w14:paraId="78AC2233" w14:textId="77777777" w:rsidR="00E05D9F" w:rsidRDefault="00E05D9F">
            <w:pPr>
              <w:spacing w:line="0" w:lineRule="atLeast"/>
              <w:ind w:left="340"/>
              <w:rPr>
                <w:sz w:val="13"/>
              </w:rPr>
            </w:pPr>
            <w:r>
              <w:rPr>
                <w:sz w:val="23"/>
              </w:rPr>
              <w:t>KDNG</w:t>
            </w:r>
            <w:r>
              <w:rPr>
                <w:sz w:val="13"/>
              </w:rPr>
              <w:t>brutto/netto</w:t>
            </w:r>
          </w:p>
        </w:tc>
        <w:tc>
          <w:tcPr>
            <w:tcW w:w="6640" w:type="dxa"/>
            <w:tcBorders>
              <w:right w:val="single" w:sz="8" w:space="0" w:color="auto"/>
            </w:tcBorders>
            <w:shd w:val="clear" w:color="auto" w:fill="auto"/>
            <w:vAlign w:val="bottom"/>
          </w:tcPr>
          <w:p w14:paraId="7EA8F7CC" w14:textId="77777777" w:rsidR="00E05D9F" w:rsidRDefault="00E05D9F">
            <w:pPr>
              <w:spacing w:line="261" w:lineRule="exact"/>
              <w:ind w:left="300"/>
              <w:rPr>
                <w:sz w:val="23"/>
              </w:rPr>
            </w:pPr>
            <w:r>
              <w:rPr>
                <w:sz w:val="23"/>
              </w:rPr>
              <w:t>koszty brutto/netto infrastruktury przypadające na działalność</w:t>
            </w:r>
          </w:p>
        </w:tc>
        <w:tc>
          <w:tcPr>
            <w:tcW w:w="40" w:type="dxa"/>
            <w:shd w:val="clear" w:color="auto" w:fill="auto"/>
            <w:vAlign w:val="bottom"/>
          </w:tcPr>
          <w:p w14:paraId="333739AE" w14:textId="77777777" w:rsidR="00E05D9F" w:rsidRDefault="00E05D9F">
            <w:pPr>
              <w:spacing w:line="0" w:lineRule="atLeast"/>
              <w:rPr>
                <w:rFonts w:ascii="Times New Roman" w:eastAsia="Times New Roman" w:hAnsi="Times New Roman"/>
                <w:sz w:val="22"/>
              </w:rPr>
            </w:pPr>
          </w:p>
        </w:tc>
      </w:tr>
      <w:tr w:rsidR="00E05D9F" w14:paraId="2EADA5F3" w14:textId="77777777">
        <w:trPr>
          <w:trHeight w:val="201"/>
        </w:trPr>
        <w:tc>
          <w:tcPr>
            <w:tcW w:w="2080" w:type="dxa"/>
            <w:vMerge/>
            <w:tcBorders>
              <w:left w:val="single" w:sz="8" w:space="0" w:color="auto"/>
              <w:right w:val="single" w:sz="8" w:space="0" w:color="auto"/>
            </w:tcBorders>
            <w:shd w:val="clear" w:color="auto" w:fill="auto"/>
            <w:vAlign w:val="bottom"/>
          </w:tcPr>
          <w:p w14:paraId="42F6D134" w14:textId="77777777" w:rsidR="00E05D9F" w:rsidRDefault="00E05D9F">
            <w:pPr>
              <w:spacing w:line="0" w:lineRule="atLeast"/>
              <w:rPr>
                <w:rFonts w:ascii="Times New Roman" w:eastAsia="Times New Roman" w:hAnsi="Times New Roman"/>
                <w:sz w:val="17"/>
              </w:rPr>
            </w:pPr>
          </w:p>
        </w:tc>
        <w:tc>
          <w:tcPr>
            <w:tcW w:w="6640" w:type="dxa"/>
            <w:vMerge w:val="restart"/>
            <w:tcBorders>
              <w:right w:val="single" w:sz="8" w:space="0" w:color="auto"/>
            </w:tcBorders>
            <w:shd w:val="clear" w:color="auto" w:fill="auto"/>
            <w:vAlign w:val="bottom"/>
          </w:tcPr>
          <w:p w14:paraId="11C492EF" w14:textId="77777777" w:rsidR="00E05D9F" w:rsidRDefault="00E05D9F">
            <w:pPr>
              <w:spacing w:line="0" w:lineRule="atLeast"/>
              <w:ind w:left="300"/>
              <w:rPr>
                <w:sz w:val="23"/>
              </w:rPr>
            </w:pPr>
            <w:r>
              <w:rPr>
                <w:sz w:val="23"/>
              </w:rPr>
              <w:t>niegospodarczą</w:t>
            </w:r>
          </w:p>
        </w:tc>
        <w:tc>
          <w:tcPr>
            <w:tcW w:w="40" w:type="dxa"/>
            <w:shd w:val="clear" w:color="auto" w:fill="auto"/>
            <w:vAlign w:val="bottom"/>
          </w:tcPr>
          <w:p w14:paraId="3D458289" w14:textId="77777777" w:rsidR="00E05D9F" w:rsidRDefault="00E05D9F">
            <w:pPr>
              <w:spacing w:line="0" w:lineRule="atLeast"/>
              <w:rPr>
                <w:rFonts w:ascii="Times New Roman" w:eastAsia="Times New Roman" w:hAnsi="Times New Roman"/>
                <w:sz w:val="17"/>
              </w:rPr>
            </w:pPr>
          </w:p>
        </w:tc>
      </w:tr>
      <w:tr w:rsidR="00E05D9F" w14:paraId="09E035FB" w14:textId="77777777">
        <w:trPr>
          <w:trHeight w:val="204"/>
        </w:trPr>
        <w:tc>
          <w:tcPr>
            <w:tcW w:w="2080" w:type="dxa"/>
            <w:tcBorders>
              <w:left w:val="single" w:sz="8" w:space="0" w:color="auto"/>
              <w:right w:val="single" w:sz="8" w:space="0" w:color="auto"/>
            </w:tcBorders>
            <w:shd w:val="clear" w:color="auto" w:fill="auto"/>
            <w:vAlign w:val="bottom"/>
          </w:tcPr>
          <w:p w14:paraId="56C42F7F" w14:textId="77777777" w:rsidR="00E05D9F" w:rsidRDefault="00E05D9F">
            <w:pPr>
              <w:spacing w:line="0" w:lineRule="atLeast"/>
              <w:rPr>
                <w:rFonts w:ascii="Times New Roman" w:eastAsia="Times New Roman" w:hAnsi="Times New Roman"/>
                <w:sz w:val="17"/>
              </w:rPr>
            </w:pPr>
          </w:p>
        </w:tc>
        <w:tc>
          <w:tcPr>
            <w:tcW w:w="6640" w:type="dxa"/>
            <w:vMerge/>
            <w:tcBorders>
              <w:right w:val="single" w:sz="8" w:space="0" w:color="auto"/>
            </w:tcBorders>
            <w:shd w:val="clear" w:color="auto" w:fill="auto"/>
            <w:vAlign w:val="bottom"/>
          </w:tcPr>
          <w:p w14:paraId="3F5EFB45" w14:textId="77777777" w:rsidR="00E05D9F" w:rsidRDefault="00E05D9F">
            <w:pPr>
              <w:spacing w:line="0" w:lineRule="atLeast"/>
              <w:rPr>
                <w:rFonts w:ascii="Times New Roman" w:eastAsia="Times New Roman" w:hAnsi="Times New Roman"/>
                <w:sz w:val="17"/>
              </w:rPr>
            </w:pPr>
          </w:p>
        </w:tc>
        <w:tc>
          <w:tcPr>
            <w:tcW w:w="40" w:type="dxa"/>
            <w:shd w:val="clear" w:color="auto" w:fill="auto"/>
            <w:vAlign w:val="bottom"/>
          </w:tcPr>
          <w:p w14:paraId="39DA61A1" w14:textId="77777777" w:rsidR="00E05D9F" w:rsidRDefault="00E05D9F">
            <w:pPr>
              <w:spacing w:line="0" w:lineRule="atLeast"/>
              <w:rPr>
                <w:rFonts w:ascii="Times New Roman" w:eastAsia="Times New Roman" w:hAnsi="Times New Roman"/>
                <w:sz w:val="17"/>
              </w:rPr>
            </w:pPr>
          </w:p>
        </w:tc>
      </w:tr>
      <w:tr w:rsidR="00E05D9F" w14:paraId="63D80181" w14:textId="77777777">
        <w:trPr>
          <w:trHeight w:val="140"/>
        </w:trPr>
        <w:tc>
          <w:tcPr>
            <w:tcW w:w="2080" w:type="dxa"/>
            <w:tcBorders>
              <w:left w:val="single" w:sz="8" w:space="0" w:color="auto"/>
              <w:bottom w:val="single" w:sz="8" w:space="0" w:color="auto"/>
              <w:right w:val="single" w:sz="8" w:space="0" w:color="auto"/>
            </w:tcBorders>
            <w:shd w:val="clear" w:color="auto" w:fill="auto"/>
            <w:vAlign w:val="bottom"/>
          </w:tcPr>
          <w:p w14:paraId="7983A583" w14:textId="77777777" w:rsidR="00E05D9F" w:rsidRDefault="00E05D9F">
            <w:pPr>
              <w:spacing w:line="0" w:lineRule="atLeast"/>
              <w:rPr>
                <w:rFonts w:ascii="Times New Roman" w:eastAsia="Times New Roman" w:hAnsi="Times New Roman"/>
                <w:sz w:val="12"/>
              </w:rPr>
            </w:pPr>
          </w:p>
        </w:tc>
        <w:tc>
          <w:tcPr>
            <w:tcW w:w="6640" w:type="dxa"/>
            <w:tcBorders>
              <w:bottom w:val="single" w:sz="8" w:space="0" w:color="auto"/>
              <w:right w:val="single" w:sz="8" w:space="0" w:color="auto"/>
            </w:tcBorders>
            <w:shd w:val="clear" w:color="auto" w:fill="auto"/>
            <w:vAlign w:val="bottom"/>
          </w:tcPr>
          <w:p w14:paraId="4A718FCB" w14:textId="77777777" w:rsidR="00E05D9F" w:rsidRDefault="00E05D9F">
            <w:pPr>
              <w:spacing w:line="0" w:lineRule="atLeast"/>
              <w:rPr>
                <w:rFonts w:ascii="Times New Roman" w:eastAsia="Times New Roman" w:hAnsi="Times New Roman"/>
                <w:sz w:val="12"/>
              </w:rPr>
            </w:pPr>
          </w:p>
        </w:tc>
        <w:tc>
          <w:tcPr>
            <w:tcW w:w="40" w:type="dxa"/>
            <w:shd w:val="clear" w:color="auto" w:fill="auto"/>
            <w:vAlign w:val="bottom"/>
          </w:tcPr>
          <w:p w14:paraId="01A64CAC" w14:textId="77777777" w:rsidR="00E05D9F" w:rsidRDefault="00E05D9F">
            <w:pPr>
              <w:spacing w:line="0" w:lineRule="atLeast"/>
              <w:rPr>
                <w:rFonts w:ascii="Times New Roman" w:eastAsia="Times New Roman" w:hAnsi="Times New Roman"/>
                <w:sz w:val="12"/>
              </w:rPr>
            </w:pPr>
          </w:p>
        </w:tc>
      </w:tr>
      <w:tr w:rsidR="00E05D9F" w14:paraId="34E6B3F1" w14:textId="77777777">
        <w:trPr>
          <w:trHeight w:val="246"/>
        </w:trPr>
        <w:tc>
          <w:tcPr>
            <w:tcW w:w="2080" w:type="dxa"/>
            <w:tcBorders>
              <w:left w:val="single" w:sz="8" w:space="0" w:color="auto"/>
              <w:right w:val="single" w:sz="8" w:space="0" w:color="auto"/>
            </w:tcBorders>
            <w:shd w:val="clear" w:color="auto" w:fill="auto"/>
            <w:vAlign w:val="bottom"/>
          </w:tcPr>
          <w:p w14:paraId="70BE9358" w14:textId="77777777" w:rsidR="00E05D9F" w:rsidRDefault="00E05D9F">
            <w:pPr>
              <w:spacing w:line="246" w:lineRule="exact"/>
              <w:ind w:left="340"/>
              <w:rPr>
                <w:sz w:val="23"/>
              </w:rPr>
            </w:pPr>
            <w:r>
              <w:rPr>
                <w:sz w:val="23"/>
              </w:rPr>
              <w:t>KK</w:t>
            </w:r>
          </w:p>
        </w:tc>
        <w:tc>
          <w:tcPr>
            <w:tcW w:w="6640" w:type="dxa"/>
            <w:tcBorders>
              <w:right w:val="single" w:sz="8" w:space="0" w:color="auto"/>
            </w:tcBorders>
            <w:shd w:val="clear" w:color="auto" w:fill="auto"/>
            <w:vAlign w:val="bottom"/>
          </w:tcPr>
          <w:p w14:paraId="5A278856" w14:textId="77777777" w:rsidR="00E05D9F" w:rsidRDefault="00E05D9F">
            <w:pPr>
              <w:spacing w:line="246" w:lineRule="exact"/>
              <w:ind w:left="300"/>
              <w:rPr>
                <w:sz w:val="23"/>
              </w:rPr>
            </w:pPr>
            <w:r>
              <w:rPr>
                <w:sz w:val="23"/>
              </w:rPr>
              <w:t>koszty kwalifikowalne projektu</w:t>
            </w:r>
          </w:p>
        </w:tc>
        <w:tc>
          <w:tcPr>
            <w:tcW w:w="40" w:type="dxa"/>
            <w:shd w:val="clear" w:color="auto" w:fill="auto"/>
            <w:vAlign w:val="bottom"/>
          </w:tcPr>
          <w:p w14:paraId="39A61E57" w14:textId="77777777" w:rsidR="00E05D9F" w:rsidRDefault="00E05D9F">
            <w:pPr>
              <w:spacing w:line="0" w:lineRule="atLeast"/>
              <w:rPr>
                <w:rFonts w:ascii="Times New Roman" w:eastAsia="Times New Roman" w:hAnsi="Times New Roman"/>
                <w:sz w:val="21"/>
              </w:rPr>
            </w:pPr>
          </w:p>
        </w:tc>
      </w:tr>
      <w:tr w:rsidR="00E05D9F" w14:paraId="54BA2FDE" w14:textId="77777777">
        <w:trPr>
          <w:trHeight w:val="139"/>
        </w:trPr>
        <w:tc>
          <w:tcPr>
            <w:tcW w:w="2080" w:type="dxa"/>
            <w:tcBorders>
              <w:left w:val="single" w:sz="8" w:space="0" w:color="auto"/>
              <w:bottom w:val="single" w:sz="8" w:space="0" w:color="auto"/>
              <w:right w:val="single" w:sz="8" w:space="0" w:color="auto"/>
            </w:tcBorders>
            <w:shd w:val="clear" w:color="auto" w:fill="auto"/>
            <w:vAlign w:val="bottom"/>
          </w:tcPr>
          <w:p w14:paraId="1191F135" w14:textId="77777777" w:rsidR="00E05D9F" w:rsidRDefault="00E05D9F">
            <w:pPr>
              <w:spacing w:line="0" w:lineRule="atLeast"/>
              <w:rPr>
                <w:rFonts w:ascii="Times New Roman" w:eastAsia="Times New Roman" w:hAnsi="Times New Roman"/>
                <w:sz w:val="12"/>
              </w:rPr>
            </w:pPr>
          </w:p>
        </w:tc>
        <w:tc>
          <w:tcPr>
            <w:tcW w:w="6640" w:type="dxa"/>
            <w:tcBorders>
              <w:bottom w:val="single" w:sz="8" w:space="0" w:color="auto"/>
              <w:right w:val="single" w:sz="8" w:space="0" w:color="auto"/>
            </w:tcBorders>
            <w:shd w:val="clear" w:color="auto" w:fill="auto"/>
            <w:vAlign w:val="bottom"/>
          </w:tcPr>
          <w:p w14:paraId="26DF2AC3" w14:textId="77777777" w:rsidR="00E05D9F" w:rsidRDefault="00E05D9F">
            <w:pPr>
              <w:spacing w:line="0" w:lineRule="atLeast"/>
              <w:rPr>
                <w:rFonts w:ascii="Times New Roman" w:eastAsia="Times New Roman" w:hAnsi="Times New Roman"/>
                <w:sz w:val="12"/>
              </w:rPr>
            </w:pPr>
          </w:p>
        </w:tc>
        <w:tc>
          <w:tcPr>
            <w:tcW w:w="40" w:type="dxa"/>
            <w:shd w:val="clear" w:color="auto" w:fill="auto"/>
            <w:vAlign w:val="bottom"/>
          </w:tcPr>
          <w:p w14:paraId="5A7850A2" w14:textId="77777777" w:rsidR="00E05D9F" w:rsidRDefault="00E05D9F">
            <w:pPr>
              <w:spacing w:line="0" w:lineRule="atLeast"/>
              <w:rPr>
                <w:rFonts w:ascii="Times New Roman" w:eastAsia="Times New Roman" w:hAnsi="Times New Roman"/>
                <w:sz w:val="12"/>
              </w:rPr>
            </w:pPr>
          </w:p>
        </w:tc>
      </w:tr>
      <w:tr w:rsidR="00E05D9F" w14:paraId="73A40524" w14:textId="77777777">
        <w:trPr>
          <w:trHeight w:val="280"/>
        </w:trPr>
        <w:tc>
          <w:tcPr>
            <w:tcW w:w="2080" w:type="dxa"/>
            <w:tcBorders>
              <w:left w:val="single" w:sz="8" w:space="0" w:color="auto"/>
              <w:right w:val="single" w:sz="8" w:space="0" w:color="auto"/>
            </w:tcBorders>
            <w:shd w:val="clear" w:color="auto" w:fill="auto"/>
            <w:vAlign w:val="bottom"/>
          </w:tcPr>
          <w:p w14:paraId="05CB2966" w14:textId="77777777" w:rsidR="00E05D9F" w:rsidRDefault="00E05D9F">
            <w:pPr>
              <w:spacing w:line="279" w:lineRule="exact"/>
              <w:ind w:left="340"/>
              <w:rPr>
                <w:sz w:val="27"/>
                <w:vertAlign w:val="subscript"/>
              </w:rPr>
            </w:pPr>
            <w:r>
              <w:rPr>
                <w:sz w:val="23"/>
              </w:rPr>
              <w:t>L</w:t>
            </w:r>
            <w:r>
              <w:rPr>
                <w:sz w:val="27"/>
                <w:vertAlign w:val="subscript"/>
              </w:rPr>
              <w:t>n</w:t>
            </w:r>
          </w:p>
        </w:tc>
        <w:tc>
          <w:tcPr>
            <w:tcW w:w="6640" w:type="dxa"/>
            <w:tcBorders>
              <w:right w:val="single" w:sz="8" w:space="0" w:color="auto"/>
            </w:tcBorders>
            <w:shd w:val="clear" w:color="auto" w:fill="auto"/>
            <w:vAlign w:val="bottom"/>
          </w:tcPr>
          <w:p w14:paraId="5DFFE80C" w14:textId="77777777" w:rsidR="00E05D9F" w:rsidRDefault="00E05D9F">
            <w:pPr>
              <w:spacing w:line="261" w:lineRule="exact"/>
              <w:ind w:left="300"/>
              <w:rPr>
                <w:sz w:val="23"/>
              </w:rPr>
            </w:pPr>
            <w:r>
              <w:rPr>
                <w:sz w:val="23"/>
              </w:rPr>
              <w:t>wartość pomocy publicznej podlegającej legalizacji dla roku „n”</w:t>
            </w:r>
          </w:p>
        </w:tc>
        <w:tc>
          <w:tcPr>
            <w:tcW w:w="40" w:type="dxa"/>
            <w:shd w:val="clear" w:color="auto" w:fill="auto"/>
            <w:vAlign w:val="bottom"/>
          </w:tcPr>
          <w:p w14:paraId="3D7604D4" w14:textId="77777777" w:rsidR="00E05D9F" w:rsidRDefault="00E05D9F">
            <w:pPr>
              <w:spacing w:line="0" w:lineRule="atLeast"/>
              <w:rPr>
                <w:rFonts w:ascii="Times New Roman" w:eastAsia="Times New Roman" w:hAnsi="Times New Roman"/>
                <w:sz w:val="24"/>
              </w:rPr>
            </w:pPr>
          </w:p>
        </w:tc>
      </w:tr>
      <w:tr w:rsidR="00E05D9F" w14:paraId="0F0D25BB" w14:textId="77777777">
        <w:trPr>
          <w:trHeight w:val="120"/>
        </w:trPr>
        <w:tc>
          <w:tcPr>
            <w:tcW w:w="2080" w:type="dxa"/>
            <w:tcBorders>
              <w:left w:val="single" w:sz="8" w:space="0" w:color="auto"/>
              <w:bottom w:val="single" w:sz="8" w:space="0" w:color="auto"/>
              <w:right w:val="single" w:sz="8" w:space="0" w:color="auto"/>
            </w:tcBorders>
            <w:shd w:val="clear" w:color="auto" w:fill="auto"/>
            <w:vAlign w:val="bottom"/>
          </w:tcPr>
          <w:p w14:paraId="766624E5" w14:textId="77777777" w:rsidR="00E05D9F" w:rsidRDefault="00E05D9F">
            <w:pPr>
              <w:spacing w:line="0" w:lineRule="atLeast"/>
              <w:rPr>
                <w:rFonts w:ascii="Times New Roman" w:eastAsia="Times New Roman" w:hAnsi="Times New Roman"/>
                <w:sz w:val="10"/>
              </w:rPr>
            </w:pPr>
          </w:p>
        </w:tc>
        <w:tc>
          <w:tcPr>
            <w:tcW w:w="6640" w:type="dxa"/>
            <w:tcBorders>
              <w:bottom w:val="single" w:sz="8" w:space="0" w:color="auto"/>
              <w:right w:val="single" w:sz="8" w:space="0" w:color="auto"/>
            </w:tcBorders>
            <w:shd w:val="clear" w:color="auto" w:fill="auto"/>
            <w:vAlign w:val="bottom"/>
          </w:tcPr>
          <w:p w14:paraId="47A257E8" w14:textId="77777777" w:rsidR="00E05D9F" w:rsidRDefault="00E05D9F">
            <w:pPr>
              <w:spacing w:line="0" w:lineRule="atLeast"/>
              <w:rPr>
                <w:rFonts w:ascii="Times New Roman" w:eastAsia="Times New Roman" w:hAnsi="Times New Roman"/>
                <w:sz w:val="10"/>
              </w:rPr>
            </w:pPr>
          </w:p>
        </w:tc>
        <w:tc>
          <w:tcPr>
            <w:tcW w:w="40" w:type="dxa"/>
            <w:shd w:val="clear" w:color="auto" w:fill="auto"/>
            <w:vAlign w:val="bottom"/>
          </w:tcPr>
          <w:p w14:paraId="3A133CB8" w14:textId="77777777" w:rsidR="00E05D9F" w:rsidRDefault="00E05D9F">
            <w:pPr>
              <w:spacing w:line="0" w:lineRule="atLeast"/>
              <w:rPr>
                <w:rFonts w:ascii="Times New Roman" w:eastAsia="Times New Roman" w:hAnsi="Times New Roman"/>
                <w:sz w:val="10"/>
              </w:rPr>
            </w:pPr>
          </w:p>
        </w:tc>
      </w:tr>
      <w:tr w:rsidR="00E05D9F" w14:paraId="04592638" w14:textId="77777777">
        <w:trPr>
          <w:trHeight w:val="247"/>
        </w:trPr>
        <w:tc>
          <w:tcPr>
            <w:tcW w:w="2080" w:type="dxa"/>
            <w:tcBorders>
              <w:left w:val="single" w:sz="8" w:space="0" w:color="auto"/>
              <w:right w:val="single" w:sz="8" w:space="0" w:color="auto"/>
            </w:tcBorders>
            <w:shd w:val="clear" w:color="auto" w:fill="auto"/>
            <w:vAlign w:val="bottom"/>
          </w:tcPr>
          <w:p w14:paraId="066D23F8" w14:textId="77777777" w:rsidR="00E05D9F" w:rsidRDefault="00E05D9F">
            <w:pPr>
              <w:spacing w:line="246" w:lineRule="exact"/>
              <w:ind w:left="340"/>
              <w:rPr>
                <w:sz w:val="23"/>
              </w:rPr>
            </w:pPr>
            <w:r>
              <w:rPr>
                <w:sz w:val="23"/>
              </w:rPr>
              <w:t>RFP</w:t>
            </w:r>
          </w:p>
        </w:tc>
        <w:tc>
          <w:tcPr>
            <w:tcW w:w="6640" w:type="dxa"/>
            <w:vMerge w:val="restart"/>
            <w:tcBorders>
              <w:right w:val="single" w:sz="8" w:space="0" w:color="auto"/>
            </w:tcBorders>
            <w:shd w:val="clear" w:color="auto" w:fill="auto"/>
            <w:vAlign w:val="bottom"/>
          </w:tcPr>
          <w:p w14:paraId="24099AF1" w14:textId="77777777" w:rsidR="00E05D9F" w:rsidRDefault="00E05D9F">
            <w:pPr>
              <w:spacing w:line="0" w:lineRule="atLeast"/>
              <w:ind w:left="300"/>
              <w:rPr>
                <w:sz w:val="23"/>
              </w:rPr>
            </w:pPr>
            <w:r>
              <w:rPr>
                <w:sz w:val="23"/>
              </w:rPr>
              <w:t>roczna alokacja finansowania publicznego projektu</w:t>
            </w:r>
          </w:p>
        </w:tc>
        <w:tc>
          <w:tcPr>
            <w:tcW w:w="40" w:type="dxa"/>
            <w:shd w:val="clear" w:color="auto" w:fill="auto"/>
            <w:vAlign w:val="bottom"/>
          </w:tcPr>
          <w:p w14:paraId="1F89CBB8" w14:textId="77777777" w:rsidR="00E05D9F" w:rsidRDefault="00E05D9F">
            <w:pPr>
              <w:spacing w:line="0" w:lineRule="atLeast"/>
              <w:rPr>
                <w:rFonts w:ascii="Times New Roman" w:eastAsia="Times New Roman" w:hAnsi="Times New Roman"/>
                <w:sz w:val="21"/>
              </w:rPr>
            </w:pPr>
          </w:p>
        </w:tc>
      </w:tr>
      <w:tr w:rsidR="00E05D9F" w14:paraId="5F36F7A1" w14:textId="77777777">
        <w:trPr>
          <w:trHeight w:val="60"/>
        </w:trPr>
        <w:tc>
          <w:tcPr>
            <w:tcW w:w="2080" w:type="dxa"/>
            <w:tcBorders>
              <w:left w:val="single" w:sz="8" w:space="0" w:color="auto"/>
              <w:right w:val="single" w:sz="8" w:space="0" w:color="auto"/>
            </w:tcBorders>
            <w:shd w:val="clear" w:color="auto" w:fill="auto"/>
            <w:vAlign w:val="bottom"/>
          </w:tcPr>
          <w:p w14:paraId="6B1BD3AF" w14:textId="77777777" w:rsidR="00E05D9F" w:rsidRDefault="00E05D9F">
            <w:pPr>
              <w:spacing w:line="0" w:lineRule="atLeast"/>
              <w:rPr>
                <w:rFonts w:ascii="Times New Roman" w:eastAsia="Times New Roman" w:hAnsi="Times New Roman"/>
                <w:sz w:val="5"/>
              </w:rPr>
            </w:pPr>
          </w:p>
        </w:tc>
        <w:tc>
          <w:tcPr>
            <w:tcW w:w="6640" w:type="dxa"/>
            <w:vMerge/>
            <w:tcBorders>
              <w:right w:val="single" w:sz="8" w:space="0" w:color="auto"/>
            </w:tcBorders>
            <w:shd w:val="clear" w:color="auto" w:fill="auto"/>
            <w:vAlign w:val="bottom"/>
          </w:tcPr>
          <w:p w14:paraId="2594DA42" w14:textId="77777777" w:rsidR="00E05D9F" w:rsidRDefault="00E05D9F">
            <w:pPr>
              <w:spacing w:line="0" w:lineRule="atLeast"/>
              <w:rPr>
                <w:rFonts w:ascii="Times New Roman" w:eastAsia="Times New Roman" w:hAnsi="Times New Roman"/>
                <w:sz w:val="5"/>
              </w:rPr>
            </w:pPr>
          </w:p>
        </w:tc>
        <w:tc>
          <w:tcPr>
            <w:tcW w:w="40" w:type="dxa"/>
            <w:shd w:val="clear" w:color="auto" w:fill="auto"/>
            <w:vAlign w:val="bottom"/>
          </w:tcPr>
          <w:p w14:paraId="5A85EF37" w14:textId="77777777" w:rsidR="00E05D9F" w:rsidRDefault="00E05D9F">
            <w:pPr>
              <w:spacing w:line="0" w:lineRule="atLeast"/>
              <w:rPr>
                <w:rFonts w:ascii="Times New Roman" w:eastAsia="Times New Roman" w:hAnsi="Times New Roman"/>
                <w:sz w:val="5"/>
              </w:rPr>
            </w:pPr>
          </w:p>
        </w:tc>
      </w:tr>
      <w:tr w:rsidR="00E05D9F" w14:paraId="55545E3E" w14:textId="77777777">
        <w:trPr>
          <w:trHeight w:val="184"/>
        </w:trPr>
        <w:tc>
          <w:tcPr>
            <w:tcW w:w="2080" w:type="dxa"/>
            <w:tcBorders>
              <w:left w:val="single" w:sz="8" w:space="0" w:color="auto"/>
              <w:bottom w:val="single" w:sz="8" w:space="0" w:color="auto"/>
              <w:right w:val="single" w:sz="8" w:space="0" w:color="auto"/>
            </w:tcBorders>
            <w:shd w:val="clear" w:color="auto" w:fill="auto"/>
            <w:vAlign w:val="bottom"/>
          </w:tcPr>
          <w:p w14:paraId="5AC6D5D8" w14:textId="77777777" w:rsidR="00E05D9F" w:rsidRDefault="00E05D9F">
            <w:pPr>
              <w:spacing w:line="0" w:lineRule="atLeast"/>
              <w:rPr>
                <w:rFonts w:ascii="Times New Roman" w:eastAsia="Times New Roman" w:hAnsi="Times New Roman"/>
                <w:sz w:val="16"/>
              </w:rPr>
            </w:pPr>
          </w:p>
        </w:tc>
        <w:tc>
          <w:tcPr>
            <w:tcW w:w="6640" w:type="dxa"/>
            <w:tcBorders>
              <w:bottom w:val="single" w:sz="8" w:space="0" w:color="auto"/>
              <w:right w:val="single" w:sz="8" w:space="0" w:color="auto"/>
            </w:tcBorders>
            <w:shd w:val="clear" w:color="auto" w:fill="auto"/>
            <w:vAlign w:val="bottom"/>
          </w:tcPr>
          <w:p w14:paraId="1906B110" w14:textId="77777777" w:rsidR="00E05D9F" w:rsidRDefault="00E05D9F">
            <w:pPr>
              <w:spacing w:line="0" w:lineRule="atLeast"/>
              <w:rPr>
                <w:rFonts w:ascii="Times New Roman" w:eastAsia="Times New Roman" w:hAnsi="Times New Roman"/>
                <w:sz w:val="16"/>
              </w:rPr>
            </w:pPr>
          </w:p>
        </w:tc>
        <w:tc>
          <w:tcPr>
            <w:tcW w:w="40" w:type="dxa"/>
            <w:shd w:val="clear" w:color="auto" w:fill="auto"/>
            <w:vAlign w:val="bottom"/>
          </w:tcPr>
          <w:p w14:paraId="30C37460" w14:textId="77777777" w:rsidR="00E05D9F" w:rsidRDefault="00E05D9F">
            <w:pPr>
              <w:spacing w:line="0" w:lineRule="atLeast"/>
              <w:rPr>
                <w:rFonts w:ascii="Times New Roman" w:eastAsia="Times New Roman" w:hAnsi="Times New Roman"/>
                <w:sz w:val="16"/>
              </w:rPr>
            </w:pPr>
          </w:p>
        </w:tc>
      </w:tr>
      <w:tr w:rsidR="00E05D9F" w14:paraId="7CC521EB" w14:textId="77777777">
        <w:trPr>
          <w:trHeight w:val="321"/>
        </w:trPr>
        <w:tc>
          <w:tcPr>
            <w:tcW w:w="2080" w:type="dxa"/>
            <w:tcBorders>
              <w:left w:val="single" w:sz="8" w:space="0" w:color="auto"/>
              <w:right w:val="single" w:sz="8" w:space="0" w:color="auto"/>
            </w:tcBorders>
            <w:shd w:val="clear" w:color="auto" w:fill="auto"/>
            <w:vAlign w:val="bottom"/>
          </w:tcPr>
          <w:p w14:paraId="20B0426C" w14:textId="77777777" w:rsidR="00E05D9F" w:rsidRDefault="00E05D9F">
            <w:pPr>
              <w:spacing w:line="285" w:lineRule="exact"/>
              <w:ind w:left="340"/>
              <w:rPr>
                <w:sz w:val="27"/>
                <w:vertAlign w:val="subscript"/>
              </w:rPr>
            </w:pPr>
            <w:r>
              <w:rPr>
                <w:sz w:val="23"/>
              </w:rPr>
              <w:t>RFP</w:t>
            </w:r>
            <w:r>
              <w:rPr>
                <w:sz w:val="27"/>
                <w:vertAlign w:val="subscript"/>
              </w:rPr>
              <w:t>n</w:t>
            </w:r>
          </w:p>
        </w:tc>
        <w:tc>
          <w:tcPr>
            <w:tcW w:w="6640" w:type="dxa"/>
            <w:tcBorders>
              <w:right w:val="single" w:sz="8" w:space="0" w:color="auto"/>
            </w:tcBorders>
            <w:shd w:val="clear" w:color="auto" w:fill="auto"/>
            <w:vAlign w:val="bottom"/>
          </w:tcPr>
          <w:p w14:paraId="24F0F12B" w14:textId="77777777" w:rsidR="00E05D9F" w:rsidRDefault="00E05D9F">
            <w:pPr>
              <w:spacing w:line="0" w:lineRule="atLeast"/>
              <w:ind w:left="300"/>
              <w:rPr>
                <w:sz w:val="23"/>
              </w:rPr>
            </w:pPr>
            <w:r>
              <w:rPr>
                <w:sz w:val="23"/>
              </w:rPr>
              <w:t>kwota finansowania publicznego projektu w roku „n”</w:t>
            </w:r>
          </w:p>
        </w:tc>
        <w:tc>
          <w:tcPr>
            <w:tcW w:w="40" w:type="dxa"/>
            <w:shd w:val="clear" w:color="auto" w:fill="auto"/>
            <w:vAlign w:val="bottom"/>
          </w:tcPr>
          <w:p w14:paraId="4A60C07C" w14:textId="77777777" w:rsidR="00E05D9F" w:rsidRDefault="00E05D9F">
            <w:pPr>
              <w:spacing w:line="0" w:lineRule="atLeast"/>
              <w:rPr>
                <w:rFonts w:ascii="Times New Roman" w:eastAsia="Times New Roman" w:hAnsi="Times New Roman"/>
                <w:sz w:val="24"/>
              </w:rPr>
            </w:pPr>
          </w:p>
        </w:tc>
      </w:tr>
      <w:tr w:rsidR="00E05D9F" w14:paraId="5CA1CA13" w14:textId="77777777">
        <w:trPr>
          <w:trHeight w:val="184"/>
        </w:trPr>
        <w:tc>
          <w:tcPr>
            <w:tcW w:w="2080" w:type="dxa"/>
            <w:tcBorders>
              <w:left w:val="single" w:sz="8" w:space="0" w:color="auto"/>
              <w:bottom w:val="single" w:sz="8" w:space="0" w:color="auto"/>
              <w:right w:val="single" w:sz="8" w:space="0" w:color="auto"/>
            </w:tcBorders>
            <w:shd w:val="clear" w:color="auto" w:fill="auto"/>
            <w:vAlign w:val="bottom"/>
          </w:tcPr>
          <w:p w14:paraId="31B34283" w14:textId="77777777" w:rsidR="00E05D9F" w:rsidRDefault="00E05D9F">
            <w:pPr>
              <w:spacing w:line="0" w:lineRule="atLeast"/>
              <w:rPr>
                <w:rFonts w:ascii="Times New Roman" w:eastAsia="Times New Roman" w:hAnsi="Times New Roman"/>
                <w:sz w:val="16"/>
              </w:rPr>
            </w:pPr>
          </w:p>
        </w:tc>
        <w:tc>
          <w:tcPr>
            <w:tcW w:w="6640" w:type="dxa"/>
            <w:tcBorders>
              <w:bottom w:val="single" w:sz="8" w:space="0" w:color="auto"/>
              <w:right w:val="single" w:sz="8" w:space="0" w:color="auto"/>
            </w:tcBorders>
            <w:shd w:val="clear" w:color="auto" w:fill="auto"/>
            <w:vAlign w:val="bottom"/>
          </w:tcPr>
          <w:p w14:paraId="450B6518" w14:textId="77777777" w:rsidR="00E05D9F" w:rsidRDefault="00E05D9F">
            <w:pPr>
              <w:spacing w:line="0" w:lineRule="atLeast"/>
              <w:rPr>
                <w:rFonts w:ascii="Times New Roman" w:eastAsia="Times New Roman" w:hAnsi="Times New Roman"/>
                <w:sz w:val="16"/>
              </w:rPr>
            </w:pPr>
          </w:p>
        </w:tc>
        <w:tc>
          <w:tcPr>
            <w:tcW w:w="40" w:type="dxa"/>
            <w:shd w:val="clear" w:color="auto" w:fill="auto"/>
            <w:vAlign w:val="bottom"/>
          </w:tcPr>
          <w:p w14:paraId="61322AD3" w14:textId="77777777" w:rsidR="00E05D9F" w:rsidRDefault="00E05D9F">
            <w:pPr>
              <w:spacing w:line="0" w:lineRule="atLeast"/>
              <w:rPr>
                <w:rFonts w:ascii="Times New Roman" w:eastAsia="Times New Roman" w:hAnsi="Times New Roman"/>
                <w:sz w:val="16"/>
              </w:rPr>
            </w:pPr>
          </w:p>
        </w:tc>
      </w:tr>
      <w:tr w:rsidR="00E05D9F" w14:paraId="13D53E52" w14:textId="77777777">
        <w:trPr>
          <w:trHeight w:val="261"/>
        </w:trPr>
        <w:tc>
          <w:tcPr>
            <w:tcW w:w="2080" w:type="dxa"/>
            <w:vMerge w:val="restart"/>
            <w:tcBorders>
              <w:left w:val="single" w:sz="8" w:space="0" w:color="auto"/>
              <w:right w:val="single" w:sz="8" w:space="0" w:color="auto"/>
            </w:tcBorders>
            <w:shd w:val="clear" w:color="auto" w:fill="auto"/>
            <w:vAlign w:val="bottom"/>
          </w:tcPr>
          <w:p w14:paraId="45D22A8C" w14:textId="77777777" w:rsidR="00E05D9F" w:rsidRDefault="00E05D9F">
            <w:pPr>
              <w:spacing w:line="0" w:lineRule="atLeast"/>
              <w:ind w:left="340"/>
              <w:rPr>
                <w:sz w:val="23"/>
              </w:rPr>
            </w:pPr>
            <w:r>
              <w:rPr>
                <w:sz w:val="23"/>
              </w:rPr>
              <w:t>RFPDG</w:t>
            </w:r>
          </w:p>
        </w:tc>
        <w:tc>
          <w:tcPr>
            <w:tcW w:w="6640" w:type="dxa"/>
            <w:tcBorders>
              <w:right w:val="single" w:sz="8" w:space="0" w:color="auto"/>
            </w:tcBorders>
            <w:shd w:val="clear" w:color="auto" w:fill="auto"/>
            <w:vAlign w:val="bottom"/>
          </w:tcPr>
          <w:p w14:paraId="2AB70910" w14:textId="77777777" w:rsidR="00E05D9F" w:rsidRDefault="00E05D9F">
            <w:pPr>
              <w:spacing w:line="261" w:lineRule="exact"/>
              <w:ind w:left="300"/>
              <w:rPr>
                <w:sz w:val="23"/>
              </w:rPr>
            </w:pPr>
            <w:r>
              <w:rPr>
                <w:sz w:val="23"/>
              </w:rPr>
              <w:t>roczna alokacja finansowania publicznego projektu (pomocy</w:t>
            </w:r>
          </w:p>
        </w:tc>
        <w:tc>
          <w:tcPr>
            <w:tcW w:w="40" w:type="dxa"/>
            <w:shd w:val="clear" w:color="auto" w:fill="auto"/>
            <w:vAlign w:val="bottom"/>
          </w:tcPr>
          <w:p w14:paraId="4AE37A3C" w14:textId="77777777" w:rsidR="00E05D9F" w:rsidRDefault="00E05D9F">
            <w:pPr>
              <w:spacing w:line="0" w:lineRule="atLeast"/>
              <w:rPr>
                <w:rFonts w:ascii="Times New Roman" w:eastAsia="Times New Roman" w:hAnsi="Times New Roman"/>
                <w:sz w:val="22"/>
              </w:rPr>
            </w:pPr>
          </w:p>
        </w:tc>
      </w:tr>
      <w:tr w:rsidR="00E05D9F" w14:paraId="0866F390" w14:textId="77777777">
        <w:trPr>
          <w:trHeight w:val="151"/>
        </w:trPr>
        <w:tc>
          <w:tcPr>
            <w:tcW w:w="2080" w:type="dxa"/>
            <w:vMerge/>
            <w:tcBorders>
              <w:left w:val="single" w:sz="8" w:space="0" w:color="auto"/>
              <w:right w:val="single" w:sz="8" w:space="0" w:color="auto"/>
            </w:tcBorders>
            <w:shd w:val="clear" w:color="auto" w:fill="auto"/>
            <w:vAlign w:val="bottom"/>
          </w:tcPr>
          <w:p w14:paraId="76C48031" w14:textId="77777777" w:rsidR="00E05D9F" w:rsidRDefault="00E05D9F">
            <w:pPr>
              <w:spacing w:line="0" w:lineRule="atLeast"/>
              <w:rPr>
                <w:rFonts w:ascii="Times New Roman" w:eastAsia="Times New Roman" w:hAnsi="Times New Roman"/>
                <w:sz w:val="13"/>
              </w:rPr>
            </w:pPr>
          </w:p>
        </w:tc>
        <w:tc>
          <w:tcPr>
            <w:tcW w:w="6640" w:type="dxa"/>
            <w:tcBorders>
              <w:right w:val="single" w:sz="8" w:space="0" w:color="auto"/>
            </w:tcBorders>
            <w:shd w:val="clear" w:color="auto" w:fill="auto"/>
            <w:vAlign w:val="bottom"/>
          </w:tcPr>
          <w:p w14:paraId="6B76BEAD" w14:textId="77777777" w:rsidR="00E05D9F" w:rsidRDefault="00E05D9F">
            <w:pPr>
              <w:spacing w:line="0" w:lineRule="atLeast"/>
              <w:rPr>
                <w:rFonts w:ascii="Times New Roman" w:eastAsia="Times New Roman" w:hAnsi="Times New Roman"/>
                <w:sz w:val="13"/>
              </w:rPr>
            </w:pPr>
          </w:p>
        </w:tc>
        <w:tc>
          <w:tcPr>
            <w:tcW w:w="40" w:type="dxa"/>
            <w:shd w:val="clear" w:color="auto" w:fill="auto"/>
            <w:vAlign w:val="bottom"/>
          </w:tcPr>
          <w:p w14:paraId="457DDBD2" w14:textId="77777777" w:rsidR="00E05D9F" w:rsidRDefault="00E05D9F">
            <w:pPr>
              <w:spacing w:line="0" w:lineRule="atLeast"/>
              <w:rPr>
                <w:rFonts w:ascii="Times New Roman" w:eastAsia="Times New Roman" w:hAnsi="Times New Roman"/>
                <w:sz w:val="13"/>
              </w:rPr>
            </w:pPr>
          </w:p>
        </w:tc>
      </w:tr>
      <w:tr w:rsidR="00E05D9F" w14:paraId="0C18365C" w14:textId="77777777">
        <w:trPr>
          <w:trHeight w:val="240"/>
        </w:trPr>
        <w:tc>
          <w:tcPr>
            <w:tcW w:w="2080" w:type="dxa"/>
            <w:tcBorders>
              <w:left w:val="single" w:sz="8" w:space="0" w:color="auto"/>
              <w:right w:val="single" w:sz="8" w:space="0" w:color="auto"/>
            </w:tcBorders>
            <w:shd w:val="clear" w:color="auto" w:fill="auto"/>
            <w:vAlign w:val="bottom"/>
          </w:tcPr>
          <w:p w14:paraId="709AA0D8" w14:textId="77777777" w:rsidR="00E05D9F" w:rsidRDefault="00E05D9F">
            <w:pPr>
              <w:spacing w:line="0" w:lineRule="atLeast"/>
              <w:rPr>
                <w:rFonts w:ascii="Times New Roman" w:eastAsia="Times New Roman" w:hAnsi="Times New Roman"/>
              </w:rPr>
            </w:pPr>
          </w:p>
        </w:tc>
        <w:tc>
          <w:tcPr>
            <w:tcW w:w="6640" w:type="dxa"/>
            <w:tcBorders>
              <w:right w:val="single" w:sz="8" w:space="0" w:color="auto"/>
            </w:tcBorders>
            <w:shd w:val="clear" w:color="auto" w:fill="auto"/>
            <w:vAlign w:val="bottom"/>
          </w:tcPr>
          <w:p w14:paraId="77196DE2" w14:textId="77777777" w:rsidR="00E05D9F" w:rsidRDefault="00E05D9F">
            <w:pPr>
              <w:spacing w:line="240" w:lineRule="exact"/>
              <w:ind w:left="300"/>
              <w:rPr>
                <w:sz w:val="23"/>
              </w:rPr>
            </w:pPr>
            <w:r>
              <w:rPr>
                <w:sz w:val="23"/>
              </w:rPr>
              <w:t>publicznej) w zakresie działalności gospodarczej</w:t>
            </w:r>
          </w:p>
        </w:tc>
        <w:tc>
          <w:tcPr>
            <w:tcW w:w="40" w:type="dxa"/>
            <w:shd w:val="clear" w:color="auto" w:fill="auto"/>
            <w:vAlign w:val="bottom"/>
          </w:tcPr>
          <w:p w14:paraId="25997B34" w14:textId="77777777" w:rsidR="00E05D9F" w:rsidRDefault="00E05D9F">
            <w:pPr>
              <w:spacing w:line="0" w:lineRule="atLeast"/>
              <w:rPr>
                <w:rFonts w:ascii="Times New Roman" w:eastAsia="Times New Roman" w:hAnsi="Times New Roman"/>
              </w:rPr>
            </w:pPr>
          </w:p>
        </w:tc>
      </w:tr>
      <w:tr w:rsidR="00E05D9F" w14:paraId="00771EB9" w14:textId="77777777">
        <w:trPr>
          <w:trHeight w:val="139"/>
        </w:trPr>
        <w:tc>
          <w:tcPr>
            <w:tcW w:w="2080" w:type="dxa"/>
            <w:tcBorders>
              <w:left w:val="single" w:sz="8" w:space="0" w:color="auto"/>
              <w:bottom w:val="single" w:sz="8" w:space="0" w:color="auto"/>
              <w:right w:val="single" w:sz="8" w:space="0" w:color="auto"/>
            </w:tcBorders>
            <w:shd w:val="clear" w:color="auto" w:fill="auto"/>
            <w:vAlign w:val="bottom"/>
          </w:tcPr>
          <w:p w14:paraId="17EA314E" w14:textId="77777777" w:rsidR="00E05D9F" w:rsidRDefault="00E05D9F">
            <w:pPr>
              <w:spacing w:line="0" w:lineRule="atLeast"/>
              <w:rPr>
                <w:rFonts w:ascii="Times New Roman" w:eastAsia="Times New Roman" w:hAnsi="Times New Roman"/>
                <w:sz w:val="12"/>
              </w:rPr>
            </w:pPr>
          </w:p>
        </w:tc>
        <w:tc>
          <w:tcPr>
            <w:tcW w:w="6640" w:type="dxa"/>
            <w:tcBorders>
              <w:bottom w:val="single" w:sz="8" w:space="0" w:color="auto"/>
              <w:right w:val="single" w:sz="8" w:space="0" w:color="auto"/>
            </w:tcBorders>
            <w:shd w:val="clear" w:color="auto" w:fill="auto"/>
            <w:vAlign w:val="bottom"/>
          </w:tcPr>
          <w:p w14:paraId="0E723490" w14:textId="77777777" w:rsidR="00E05D9F" w:rsidRDefault="00E05D9F">
            <w:pPr>
              <w:spacing w:line="0" w:lineRule="atLeast"/>
              <w:rPr>
                <w:rFonts w:ascii="Times New Roman" w:eastAsia="Times New Roman" w:hAnsi="Times New Roman"/>
                <w:sz w:val="12"/>
              </w:rPr>
            </w:pPr>
          </w:p>
        </w:tc>
        <w:tc>
          <w:tcPr>
            <w:tcW w:w="40" w:type="dxa"/>
            <w:shd w:val="clear" w:color="auto" w:fill="auto"/>
            <w:vAlign w:val="bottom"/>
          </w:tcPr>
          <w:p w14:paraId="4E5726C4" w14:textId="77777777" w:rsidR="00E05D9F" w:rsidRDefault="00E05D9F">
            <w:pPr>
              <w:spacing w:line="0" w:lineRule="atLeast"/>
              <w:rPr>
                <w:rFonts w:ascii="Times New Roman" w:eastAsia="Times New Roman" w:hAnsi="Times New Roman"/>
                <w:sz w:val="12"/>
              </w:rPr>
            </w:pPr>
          </w:p>
        </w:tc>
      </w:tr>
      <w:tr w:rsidR="00E05D9F" w14:paraId="047DE03D" w14:textId="77777777">
        <w:trPr>
          <w:trHeight w:val="262"/>
        </w:trPr>
        <w:tc>
          <w:tcPr>
            <w:tcW w:w="2080" w:type="dxa"/>
            <w:vMerge w:val="restart"/>
            <w:tcBorders>
              <w:left w:val="single" w:sz="8" w:space="0" w:color="auto"/>
              <w:right w:val="single" w:sz="8" w:space="0" w:color="auto"/>
            </w:tcBorders>
            <w:shd w:val="clear" w:color="auto" w:fill="auto"/>
            <w:vAlign w:val="bottom"/>
          </w:tcPr>
          <w:p w14:paraId="74E259CC" w14:textId="77777777" w:rsidR="00E05D9F" w:rsidRDefault="00E05D9F">
            <w:pPr>
              <w:spacing w:line="0" w:lineRule="atLeast"/>
              <w:ind w:left="340"/>
              <w:rPr>
                <w:sz w:val="27"/>
                <w:vertAlign w:val="subscript"/>
              </w:rPr>
            </w:pPr>
            <w:r>
              <w:rPr>
                <w:sz w:val="23"/>
              </w:rPr>
              <w:t>RFPDG</w:t>
            </w:r>
            <w:r>
              <w:rPr>
                <w:sz w:val="27"/>
                <w:vertAlign w:val="subscript"/>
              </w:rPr>
              <w:t>n</w:t>
            </w:r>
          </w:p>
        </w:tc>
        <w:tc>
          <w:tcPr>
            <w:tcW w:w="6640" w:type="dxa"/>
            <w:tcBorders>
              <w:right w:val="single" w:sz="8" w:space="0" w:color="auto"/>
            </w:tcBorders>
            <w:shd w:val="clear" w:color="auto" w:fill="auto"/>
            <w:vAlign w:val="bottom"/>
          </w:tcPr>
          <w:p w14:paraId="2A9BE8F7" w14:textId="77777777" w:rsidR="00E05D9F" w:rsidRDefault="00E05D9F">
            <w:pPr>
              <w:spacing w:line="261" w:lineRule="exact"/>
              <w:ind w:left="300"/>
              <w:rPr>
                <w:sz w:val="23"/>
              </w:rPr>
            </w:pPr>
            <w:r>
              <w:rPr>
                <w:sz w:val="23"/>
              </w:rPr>
              <w:t>kwota finansowania publicznego projektu (pomocy publicznej)</w:t>
            </w:r>
          </w:p>
        </w:tc>
        <w:tc>
          <w:tcPr>
            <w:tcW w:w="40" w:type="dxa"/>
            <w:shd w:val="clear" w:color="auto" w:fill="auto"/>
            <w:vAlign w:val="bottom"/>
          </w:tcPr>
          <w:p w14:paraId="3A450281" w14:textId="77777777" w:rsidR="00E05D9F" w:rsidRDefault="00E05D9F">
            <w:pPr>
              <w:spacing w:line="0" w:lineRule="atLeast"/>
              <w:rPr>
                <w:rFonts w:ascii="Times New Roman" w:eastAsia="Times New Roman" w:hAnsi="Times New Roman"/>
                <w:sz w:val="22"/>
              </w:rPr>
            </w:pPr>
          </w:p>
        </w:tc>
      </w:tr>
      <w:tr w:rsidR="00E05D9F" w14:paraId="5740A4F4" w14:textId="77777777">
        <w:trPr>
          <w:trHeight w:val="156"/>
        </w:trPr>
        <w:tc>
          <w:tcPr>
            <w:tcW w:w="2080" w:type="dxa"/>
            <w:vMerge/>
            <w:tcBorders>
              <w:left w:val="single" w:sz="8" w:space="0" w:color="auto"/>
              <w:right w:val="single" w:sz="8" w:space="0" w:color="auto"/>
            </w:tcBorders>
            <w:shd w:val="clear" w:color="auto" w:fill="auto"/>
            <w:vAlign w:val="bottom"/>
          </w:tcPr>
          <w:p w14:paraId="6C1041AD" w14:textId="77777777" w:rsidR="00E05D9F" w:rsidRDefault="00E05D9F">
            <w:pPr>
              <w:spacing w:line="0" w:lineRule="atLeast"/>
              <w:rPr>
                <w:rFonts w:ascii="Times New Roman" w:eastAsia="Times New Roman" w:hAnsi="Times New Roman"/>
                <w:sz w:val="13"/>
              </w:rPr>
            </w:pPr>
          </w:p>
        </w:tc>
        <w:tc>
          <w:tcPr>
            <w:tcW w:w="6640" w:type="dxa"/>
            <w:tcBorders>
              <w:right w:val="single" w:sz="8" w:space="0" w:color="auto"/>
            </w:tcBorders>
            <w:shd w:val="clear" w:color="auto" w:fill="auto"/>
            <w:vAlign w:val="bottom"/>
          </w:tcPr>
          <w:p w14:paraId="46B4688F" w14:textId="77777777" w:rsidR="00E05D9F" w:rsidRDefault="00E05D9F">
            <w:pPr>
              <w:spacing w:line="0" w:lineRule="atLeast"/>
              <w:rPr>
                <w:rFonts w:ascii="Times New Roman" w:eastAsia="Times New Roman" w:hAnsi="Times New Roman"/>
                <w:sz w:val="13"/>
              </w:rPr>
            </w:pPr>
          </w:p>
        </w:tc>
        <w:tc>
          <w:tcPr>
            <w:tcW w:w="40" w:type="dxa"/>
            <w:shd w:val="clear" w:color="auto" w:fill="auto"/>
            <w:vAlign w:val="bottom"/>
          </w:tcPr>
          <w:p w14:paraId="121C0035" w14:textId="77777777" w:rsidR="00E05D9F" w:rsidRDefault="00E05D9F">
            <w:pPr>
              <w:spacing w:line="0" w:lineRule="atLeast"/>
              <w:rPr>
                <w:rFonts w:ascii="Times New Roman" w:eastAsia="Times New Roman" w:hAnsi="Times New Roman"/>
                <w:sz w:val="13"/>
              </w:rPr>
            </w:pPr>
          </w:p>
        </w:tc>
      </w:tr>
      <w:tr w:rsidR="00E05D9F" w14:paraId="6F248E78" w14:textId="77777777">
        <w:trPr>
          <w:trHeight w:val="249"/>
        </w:trPr>
        <w:tc>
          <w:tcPr>
            <w:tcW w:w="2080" w:type="dxa"/>
            <w:tcBorders>
              <w:left w:val="single" w:sz="8" w:space="0" w:color="auto"/>
              <w:right w:val="single" w:sz="8" w:space="0" w:color="auto"/>
            </w:tcBorders>
            <w:shd w:val="clear" w:color="auto" w:fill="auto"/>
            <w:vAlign w:val="bottom"/>
          </w:tcPr>
          <w:p w14:paraId="66050B37" w14:textId="77777777" w:rsidR="00E05D9F" w:rsidRDefault="00E05D9F">
            <w:pPr>
              <w:spacing w:line="0" w:lineRule="atLeast"/>
              <w:rPr>
                <w:rFonts w:ascii="Times New Roman" w:eastAsia="Times New Roman" w:hAnsi="Times New Roman"/>
                <w:sz w:val="21"/>
              </w:rPr>
            </w:pPr>
          </w:p>
        </w:tc>
        <w:tc>
          <w:tcPr>
            <w:tcW w:w="6640" w:type="dxa"/>
            <w:tcBorders>
              <w:right w:val="single" w:sz="8" w:space="0" w:color="auto"/>
            </w:tcBorders>
            <w:shd w:val="clear" w:color="auto" w:fill="auto"/>
            <w:vAlign w:val="bottom"/>
          </w:tcPr>
          <w:p w14:paraId="6A8C305E" w14:textId="77777777" w:rsidR="00E05D9F" w:rsidRDefault="00E05D9F">
            <w:pPr>
              <w:spacing w:line="250" w:lineRule="exact"/>
              <w:ind w:left="300"/>
              <w:rPr>
                <w:sz w:val="23"/>
              </w:rPr>
            </w:pPr>
            <w:r>
              <w:rPr>
                <w:sz w:val="23"/>
              </w:rPr>
              <w:t>w zakresie działalności gospodarczej w roku „n”</w:t>
            </w:r>
          </w:p>
        </w:tc>
        <w:tc>
          <w:tcPr>
            <w:tcW w:w="40" w:type="dxa"/>
            <w:shd w:val="clear" w:color="auto" w:fill="auto"/>
            <w:vAlign w:val="bottom"/>
          </w:tcPr>
          <w:p w14:paraId="1F287BDD" w14:textId="77777777" w:rsidR="00E05D9F" w:rsidRDefault="00E05D9F">
            <w:pPr>
              <w:spacing w:line="0" w:lineRule="atLeast"/>
              <w:rPr>
                <w:rFonts w:ascii="Times New Roman" w:eastAsia="Times New Roman" w:hAnsi="Times New Roman"/>
                <w:sz w:val="21"/>
              </w:rPr>
            </w:pPr>
          </w:p>
        </w:tc>
      </w:tr>
      <w:tr w:rsidR="00E05D9F" w14:paraId="7A104150" w14:textId="77777777">
        <w:trPr>
          <w:trHeight w:val="124"/>
        </w:trPr>
        <w:tc>
          <w:tcPr>
            <w:tcW w:w="2080" w:type="dxa"/>
            <w:tcBorders>
              <w:left w:val="single" w:sz="8" w:space="0" w:color="auto"/>
              <w:bottom w:val="single" w:sz="8" w:space="0" w:color="auto"/>
              <w:right w:val="single" w:sz="8" w:space="0" w:color="auto"/>
            </w:tcBorders>
            <w:shd w:val="clear" w:color="auto" w:fill="auto"/>
            <w:vAlign w:val="bottom"/>
          </w:tcPr>
          <w:p w14:paraId="687A92D8" w14:textId="77777777" w:rsidR="00E05D9F" w:rsidRDefault="00E05D9F">
            <w:pPr>
              <w:spacing w:line="0" w:lineRule="atLeast"/>
              <w:rPr>
                <w:rFonts w:ascii="Times New Roman" w:eastAsia="Times New Roman" w:hAnsi="Times New Roman"/>
                <w:sz w:val="10"/>
              </w:rPr>
            </w:pPr>
          </w:p>
        </w:tc>
        <w:tc>
          <w:tcPr>
            <w:tcW w:w="6640" w:type="dxa"/>
            <w:tcBorders>
              <w:bottom w:val="single" w:sz="8" w:space="0" w:color="auto"/>
              <w:right w:val="single" w:sz="8" w:space="0" w:color="auto"/>
            </w:tcBorders>
            <w:shd w:val="clear" w:color="auto" w:fill="auto"/>
            <w:vAlign w:val="bottom"/>
          </w:tcPr>
          <w:p w14:paraId="41604F0C" w14:textId="77777777" w:rsidR="00E05D9F" w:rsidRDefault="00E05D9F">
            <w:pPr>
              <w:spacing w:line="0" w:lineRule="atLeast"/>
              <w:rPr>
                <w:rFonts w:ascii="Times New Roman" w:eastAsia="Times New Roman" w:hAnsi="Times New Roman"/>
                <w:sz w:val="10"/>
              </w:rPr>
            </w:pPr>
          </w:p>
        </w:tc>
        <w:tc>
          <w:tcPr>
            <w:tcW w:w="40" w:type="dxa"/>
            <w:shd w:val="clear" w:color="auto" w:fill="auto"/>
            <w:vAlign w:val="bottom"/>
          </w:tcPr>
          <w:p w14:paraId="26C54C63" w14:textId="77777777" w:rsidR="00E05D9F" w:rsidRDefault="00E05D9F">
            <w:pPr>
              <w:spacing w:line="0" w:lineRule="atLeast"/>
              <w:rPr>
                <w:rFonts w:ascii="Times New Roman" w:eastAsia="Times New Roman" w:hAnsi="Times New Roman"/>
                <w:sz w:val="10"/>
              </w:rPr>
            </w:pPr>
          </w:p>
        </w:tc>
      </w:tr>
      <w:tr w:rsidR="00E05D9F" w14:paraId="48CB89FA" w14:textId="77777777">
        <w:trPr>
          <w:trHeight w:val="914"/>
        </w:trPr>
        <w:tc>
          <w:tcPr>
            <w:tcW w:w="2080" w:type="dxa"/>
            <w:shd w:val="clear" w:color="auto" w:fill="auto"/>
            <w:vAlign w:val="bottom"/>
          </w:tcPr>
          <w:p w14:paraId="5CA6819D" w14:textId="77777777" w:rsidR="00E05D9F" w:rsidRDefault="00E05D9F">
            <w:pPr>
              <w:spacing w:line="0" w:lineRule="atLeast"/>
              <w:rPr>
                <w:rFonts w:ascii="Times New Roman" w:eastAsia="Times New Roman" w:hAnsi="Times New Roman"/>
                <w:sz w:val="24"/>
              </w:rPr>
            </w:pPr>
          </w:p>
        </w:tc>
        <w:tc>
          <w:tcPr>
            <w:tcW w:w="6660" w:type="dxa"/>
            <w:gridSpan w:val="2"/>
            <w:shd w:val="clear" w:color="auto" w:fill="auto"/>
            <w:vAlign w:val="bottom"/>
          </w:tcPr>
          <w:p w14:paraId="7AC73F12" w14:textId="77777777" w:rsidR="00E05D9F" w:rsidRDefault="00E05D9F">
            <w:pPr>
              <w:spacing w:line="0" w:lineRule="atLeast"/>
              <w:ind w:left="6440"/>
              <w:rPr>
                <w:w w:val="98"/>
              </w:rPr>
            </w:pPr>
            <w:r>
              <w:rPr>
                <w:w w:val="98"/>
              </w:rPr>
              <w:t>23</w:t>
            </w:r>
          </w:p>
        </w:tc>
      </w:tr>
    </w:tbl>
    <w:p w14:paraId="43792026" w14:textId="77777777" w:rsidR="00E05D9F" w:rsidRDefault="00E05D9F">
      <w:pPr>
        <w:rPr>
          <w:w w:val="98"/>
        </w:rPr>
        <w:sectPr w:rsidR="00E05D9F" w:rsidSect="00F716F9">
          <w:pgSz w:w="11920" w:h="16845"/>
          <w:pgMar w:top="1411" w:right="1410" w:bottom="1440" w:left="1420" w:header="0" w:footer="68" w:gutter="0"/>
          <w:cols w:space="0" w:equalWidth="0">
            <w:col w:w="9080"/>
          </w:cols>
          <w:docGrid w:linePitch="360"/>
        </w:sectPr>
      </w:pPr>
    </w:p>
    <w:tbl>
      <w:tblPr>
        <w:tblW w:w="0" w:type="auto"/>
        <w:tblInd w:w="330" w:type="dxa"/>
        <w:tblLayout w:type="fixed"/>
        <w:tblCellMar>
          <w:left w:w="0" w:type="dxa"/>
          <w:right w:w="0" w:type="dxa"/>
        </w:tblCellMar>
        <w:tblLook w:val="0000" w:firstRow="0" w:lastRow="0" w:firstColumn="0" w:lastColumn="0" w:noHBand="0" w:noVBand="0"/>
      </w:tblPr>
      <w:tblGrid>
        <w:gridCol w:w="2080"/>
        <w:gridCol w:w="6660"/>
      </w:tblGrid>
      <w:tr w:rsidR="00E05D9F" w14:paraId="547D8C4A" w14:textId="77777777">
        <w:trPr>
          <w:trHeight w:val="281"/>
        </w:trPr>
        <w:tc>
          <w:tcPr>
            <w:tcW w:w="2080" w:type="dxa"/>
            <w:vMerge w:val="restart"/>
            <w:tcBorders>
              <w:top w:val="single" w:sz="8" w:space="0" w:color="auto"/>
              <w:left w:val="single" w:sz="8" w:space="0" w:color="auto"/>
              <w:right w:val="single" w:sz="8" w:space="0" w:color="auto"/>
            </w:tcBorders>
            <w:shd w:val="clear" w:color="auto" w:fill="auto"/>
            <w:vAlign w:val="bottom"/>
          </w:tcPr>
          <w:p w14:paraId="18D333F7" w14:textId="77777777" w:rsidR="00E05D9F" w:rsidRDefault="00E05D9F">
            <w:pPr>
              <w:spacing w:line="0" w:lineRule="atLeast"/>
              <w:ind w:left="340"/>
              <w:rPr>
                <w:sz w:val="23"/>
              </w:rPr>
            </w:pPr>
            <w:bookmarkStart w:id="23" w:name="page24"/>
            <w:bookmarkEnd w:id="23"/>
            <w:r>
              <w:rPr>
                <w:sz w:val="23"/>
              </w:rPr>
              <w:lastRenderedPageBreak/>
              <w:t>RFPDNG</w:t>
            </w:r>
          </w:p>
        </w:tc>
        <w:tc>
          <w:tcPr>
            <w:tcW w:w="6660" w:type="dxa"/>
            <w:tcBorders>
              <w:top w:val="single" w:sz="8" w:space="0" w:color="auto"/>
              <w:right w:val="single" w:sz="8" w:space="0" w:color="auto"/>
            </w:tcBorders>
            <w:shd w:val="clear" w:color="auto" w:fill="auto"/>
            <w:vAlign w:val="bottom"/>
          </w:tcPr>
          <w:p w14:paraId="797D3C41" w14:textId="77777777" w:rsidR="00E05D9F" w:rsidRDefault="00E05D9F">
            <w:pPr>
              <w:spacing w:line="0" w:lineRule="atLeast"/>
              <w:ind w:left="300"/>
              <w:rPr>
                <w:sz w:val="23"/>
              </w:rPr>
            </w:pPr>
            <w:r>
              <w:rPr>
                <w:sz w:val="23"/>
              </w:rPr>
              <w:t>roczna alokacja finansowania publicznego projektu w zakresie</w:t>
            </w:r>
          </w:p>
        </w:tc>
      </w:tr>
      <w:tr w:rsidR="00E05D9F" w14:paraId="60658B86" w14:textId="77777777">
        <w:trPr>
          <w:trHeight w:val="210"/>
        </w:trPr>
        <w:tc>
          <w:tcPr>
            <w:tcW w:w="2080" w:type="dxa"/>
            <w:vMerge/>
            <w:tcBorders>
              <w:left w:val="single" w:sz="8" w:space="0" w:color="auto"/>
              <w:right w:val="single" w:sz="8" w:space="0" w:color="auto"/>
            </w:tcBorders>
            <w:shd w:val="clear" w:color="auto" w:fill="auto"/>
            <w:vAlign w:val="bottom"/>
          </w:tcPr>
          <w:p w14:paraId="6F7BC454" w14:textId="77777777" w:rsidR="00E05D9F" w:rsidRDefault="00E05D9F">
            <w:pPr>
              <w:spacing w:line="0" w:lineRule="atLeast"/>
              <w:rPr>
                <w:rFonts w:ascii="Times New Roman" w:eastAsia="Times New Roman" w:hAnsi="Times New Roman"/>
                <w:sz w:val="18"/>
              </w:rPr>
            </w:pPr>
          </w:p>
        </w:tc>
        <w:tc>
          <w:tcPr>
            <w:tcW w:w="6660" w:type="dxa"/>
            <w:vMerge w:val="restart"/>
            <w:tcBorders>
              <w:right w:val="single" w:sz="8" w:space="0" w:color="auto"/>
            </w:tcBorders>
            <w:shd w:val="clear" w:color="auto" w:fill="auto"/>
            <w:vAlign w:val="bottom"/>
          </w:tcPr>
          <w:p w14:paraId="7A27B55C" w14:textId="77777777" w:rsidR="00E05D9F" w:rsidRDefault="00E05D9F">
            <w:pPr>
              <w:spacing w:line="0" w:lineRule="atLeast"/>
              <w:ind w:left="300"/>
              <w:rPr>
                <w:sz w:val="23"/>
              </w:rPr>
            </w:pPr>
            <w:r>
              <w:rPr>
                <w:sz w:val="23"/>
              </w:rPr>
              <w:t>działalności niegospodarczej</w:t>
            </w:r>
          </w:p>
        </w:tc>
      </w:tr>
      <w:tr w:rsidR="00E05D9F" w14:paraId="64301D0C" w14:textId="77777777">
        <w:trPr>
          <w:trHeight w:val="195"/>
        </w:trPr>
        <w:tc>
          <w:tcPr>
            <w:tcW w:w="2080" w:type="dxa"/>
            <w:tcBorders>
              <w:left w:val="single" w:sz="8" w:space="0" w:color="auto"/>
              <w:right w:val="single" w:sz="8" w:space="0" w:color="auto"/>
            </w:tcBorders>
            <w:shd w:val="clear" w:color="auto" w:fill="auto"/>
            <w:vAlign w:val="bottom"/>
          </w:tcPr>
          <w:p w14:paraId="32A66C52" w14:textId="77777777" w:rsidR="00E05D9F" w:rsidRDefault="00E05D9F">
            <w:pPr>
              <w:spacing w:line="0" w:lineRule="atLeast"/>
              <w:rPr>
                <w:rFonts w:ascii="Times New Roman" w:eastAsia="Times New Roman" w:hAnsi="Times New Roman"/>
                <w:sz w:val="16"/>
              </w:rPr>
            </w:pPr>
          </w:p>
        </w:tc>
        <w:tc>
          <w:tcPr>
            <w:tcW w:w="6660" w:type="dxa"/>
            <w:vMerge/>
            <w:tcBorders>
              <w:right w:val="single" w:sz="8" w:space="0" w:color="auto"/>
            </w:tcBorders>
            <w:shd w:val="clear" w:color="auto" w:fill="auto"/>
            <w:vAlign w:val="bottom"/>
          </w:tcPr>
          <w:p w14:paraId="35965B0F" w14:textId="77777777" w:rsidR="00E05D9F" w:rsidRDefault="00E05D9F">
            <w:pPr>
              <w:spacing w:line="0" w:lineRule="atLeast"/>
              <w:rPr>
                <w:rFonts w:ascii="Times New Roman" w:eastAsia="Times New Roman" w:hAnsi="Times New Roman"/>
                <w:sz w:val="16"/>
              </w:rPr>
            </w:pPr>
          </w:p>
        </w:tc>
      </w:tr>
      <w:tr w:rsidR="00E05D9F" w14:paraId="28DED6A2" w14:textId="77777777">
        <w:trPr>
          <w:trHeight w:val="139"/>
        </w:trPr>
        <w:tc>
          <w:tcPr>
            <w:tcW w:w="2080" w:type="dxa"/>
            <w:tcBorders>
              <w:left w:val="single" w:sz="8" w:space="0" w:color="auto"/>
              <w:bottom w:val="single" w:sz="8" w:space="0" w:color="auto"/>
              <w:right w:val="single" w:sz="8" w:space="0" w:color="auto"/>
            </w:tcBorders>
            <w:shd w:val="clear" w:color="auto" w:fill="auto"/>
            <w:vAlign w:val="bottom"/>
          </w:tcPr>
          <w:p w14:paraId="24D743F5" w14:textId="77777777" w:rsidR="00E05D9F" w:rsidRDefault="00E05D9F">
            <w:pPr>
              <w:spacing w:line="0" w:lineRule="atLeast"/>
              <w:rPr>
                <w:rFonts w:ascii="Times New Roman" w:eastAsia="Times New Roman" w:hAnsi="Times New Roman"/>
                <w:sz w:val="12"/>
              </w:rPr>
            </w:pPr>
          </w:p>
        </w:tc>
        <w:tc>
          <w:tcPr>
            <w:tcW w:w="6660" w:type="dxa"/>
            <w:tcBorders>
              <w:bottom w:val="single" w:sz="8" w:space="0" w:color="auto"/>
              <w:right w:val="single" w:sz="8" w:space="0" w:color="auto"/>
            </w:tcBorders>
            <w:shd w:val="clear" w:color="auto" w:fill="auto"/>
            <w:vAlign w:val="bottom"/>
          </w:tcPr>
          <w:p w14:paraId="7156C560" w14:textId="77777777" w:rsidR="00E05D9F" w:rsidRDefault="00E05D9F">
            <w:pPr>
              <w:spacing w:line="0" w:lineRule="atLeast"/>
              <w:rPr>
                <w:rFonts w:ascii="Times New Roman" w:eastAsia="Times New Roman" w:hAnsi="Times New Roman"/>
                <w:sz w:val="12"/>
              </w:rPr>
            </w:pPr>
          </w:p>
        </w:tc>
      </w:tr>
      <w:tr w:rsidR="00E05D9F" w14:paraId="3A195416" w14:textId="77777777">
        <w:trPr>
          <w:trHeight w:val="261"/>
        </w:trPr>
        <w:tc>
          <w:tcPr>
            <w:tcW w:w="2080" w:type="dxa"/>
            <w:vMerge w:val="restart"/>
            <w:tcBorders>
              <w:left w:val="single" w:sz="8" w:space="0" w:color="auto"/>
              <w:right w:val="single" w:sz="8" w:space="0" w:color="auto"/>
            </w:tcBorders>
            <w:shd w:val="clear" w:color="auto" w:fill="auto"/>
            <w:vAlign w:val="bottom"/>
          </w:tcPr>
          <w:p w14:paraId="07DCC7EB" w14:textId="77777777" w:rsidR="00E05D9F" w:rsidRDefault="00E05D9F">
            <w:pPr>
              <w:spacing w:line="0" w:lineRule="atLeast"/>
              <w:ind w:left="340"/>
              <w:rPr>
                <w:sz w:val="27"/>
                <w:vertAlign w:val="subscript"/>
              </w:rPr>
            </w:pPr>
            <w:r>
              <w:rPr>
                <w:sz w:val="23"/>
              </w:rPr>
              <w:t>RFPDNG</w:t>
            </w:r>
            <w:r>
              <w:rPr>
                <w:sz w:val="27"/>
                <w:vertAlign w:val="subscript"/>
              </w:rPr>
              <w:t>n</w:t>
            </w:r>
          </w:p>
        </w:tc>
        <w:tc>
          <w:tcPr>
            <w:tcW w:w="6660" w:type="dxa"/>
            <w:tcBorders>
              <w:right w:val="single" w:sz="8" w:space="0" w:color="auto"/>
            </w:tcBorders>
            <w:shd w:val="clear" w:color="auto" w:fill="auto"/>
            <w:vAlign w:val="bottom"/>
          </w:tcPr>
          <w:p w14:paraId="3BEE254A" w14:textId="77777777" w:rsidR="00E05D9F" w:rsidRDefault="00E05D9F">
            <w:pPr>
              <w:spacing w:line="261" w:lineRule="exact"/>
              <w:ind w:left="300"/>
              <w:rPr>
                <w:sz w:val="23"/>
              </w:rPr>
            </w:pPr>
            <w:r>
              <w:rPr>
                <w:sz w:val="23"/>
              </w:rPr>
              <w:t>kwota finansowania publicznego projektu w zakresie działalności</w:t>
            </w:r>
          </w:p>
        </w:tc>
      </w:tr>
      <w:tr w:rsidR="00E05D9F" w14:paraId="2C3EA763" w14:textId="77777777">
        <w:trPr>
          <w:trHeight w:val="201"/>
        </w:trPr>
        <w:tc>
          <w:tcPr>
            <w:tcW w:w="2080" w:type="dxa"/>
            <w:vMerge/>
            <w:tcBorders>
              <w:left w:val="single" w:sz="8" w:space="0" w:color="auto"/>
              <w:right w:val="single" w:sz="8" w:space="0" w:color="auto"/>
            </w:tcBorders>
            <w:shd w:val="clear" w:color="auto" w:fill="auto"/>
            <w:vAlign w:val="bottom"/>
          </w:tcPr>
          <w:p w14:paraId="78BB9F6A" w14:textId="77777777" w:rsidR="00E05D9F" w:rsidRDefault="00E05D9F">
            <w:pPr>
              <w:spacing w:line="0" w:lineRule="atLeast"/>
              <w:rPr>
                <w:rFonts w:ascii="Times New Roman" w:eastAsia="Times New Roman" w:hAnsi="Times New Roman"/>
                <w:sz w:val="17"/>
              </w:rPr>
            </w:pPr>
          </w:p>
        </w:tc>
        <w:tc>
          <w:tcPr>
            <w:tcW w:w="6660" w:type="dxa"/>
            <w:vMerge w:val="restart"/>
            <w:tcBorders>
              <w:right w:val="single" w:sz="8" w:space="0" w:color="auto"/>
            </w:tcBorders>
            <w:shd w:val="clear" w:color="auto" w:fill="auto"/>
            <w:vAlign w:val="bottom"/>
          </w:tcPr>
          <w:p w14:paraId="50DF9407" w14:textId="77777777" w:rsidR="00E05D9F" w:rsidRDefault="00E05D9F">
            <w:pPr>
              <w:spacing w:line="0" w:lineRule="atLeast"/>
              <w:ind w:left="300"/>
              <w:rPr>
                <w:sz w:val="23"/>
              </w:rPr>
            </w:pPr>
            <w:r>
              <w:rPr>
                <w:sz w:val="23"/>
              </w:rPr>
              <w:t>niegospodarczej w roku „n”</w:t>
            </w:r>
          </w:p>
        </w:tc>
      </w:tr>
      <w:tr w:rsidR="00E05D9F" w14:paraId="2B5C977B" w14:textId="77777777">
        <w:trPr>
          <w:trHeight w:val="189"/>
        </w:trPr>
        <w:tc>
          <w:tcPr>
            <w:tcW w:w="2080" w:type="dxa"/>
            <w:tcBorders>
              <w:left w:val="single" w:sz="8" w:space="0" w:color="auto"/>
              <w:right w:val="single" w:sz="8" w:space="0" w:color="auto"/>
            </w:tcBorders>
            <w:shd w:val="clear" w:color="auto" w:fill="auto"/>
            <w:vAlign w:val="bottom"/>
          </w:tcPr>
          <w:p w14:paraId="7AA84871" w14:textId="77777777" w:rsidR="00E05D9F" w:rsidRDefault="00E05D9F">
            <w:pPr>
              <w:spacing w:line="0" w:lineRule="atLeast"/>
              <w:rPr>
                <w:rFonts w:ascii="Times New Roman" w:eastAsia="Times New Roman" w:hAnsi="Times New Roman"/>
                <w:sz w:val="16"/>
              </w:rPr>
            </w:pPr>
          </w:p>
        </w:tc>
        <w:tc>
          <w:tcPr>
            <w:tcW w:w="6660" w:type="dxa"/>
            <w:vMerge/>
            <w:tcBorders>
              <w:right w:val="single" w:sz="8" w:space="0" w:color="auto"/>
            </w:tcBorders>
            <w:shd w:val="clear" w:color="auto" w:fill="auto"/>
            <w:vAlign w:val="bottom"/>
          </w:tcPr>
          <w:p w14:paraId="24F02232" w14:textId="77777777" w:rsidR="00E05D9F" w:rsidRDefault="00E05D9F">
            <w:pPr>
              <w:spacing w:line="0" w:lineRule="atLeast"/>
              <w:rPr>
                <w:rFonts w:ascii="Times New Roman" w:eastAsia="Times New Roman" w:hAnsi="Times New Roman"/>
                <w:sz w:val="16"/>
              </w:rPr>
            </w:pPr>
          </w:p>
        </w:tc>
      </w:tr>
      <w:tr w:rsidR="00E05D9F" w14:paraId="4D5995D7" w14:textId="77777777">
        <w:trPr>
          <w:trHeight w:val="139"/>
        </w:trPr>
        <w:tc>
          <w:tcPr>
            <w:tcW w:w="2080" w:type="dxa"/>
            <w:tcBorders>
              <w:left w:val="single" w:sz="8" w:space="0" w:color="auto"/>
              <w:bottom w:val="single" w:sz="8" w:space="0" w:color="auto"/>
              <w:right w:val="single" w:sz="8" w:space="0" w:color="auto"/>
            </w:tcBorders>
            <w:shd w:val="clear" w:color="auto" w:fill="auto"/>
            <w:vAlign w:val="bottom"/>
          </w:tcPr>
          <w:p w14:paraId="1A2C0FD2" w14:textId="77777777" w:rsidR="00E05D9F" w:rsidRDefault="00E05D9F">
            <w:pPr>
              <w:spacing w:line="0" w:lineRule="atLeast"/>
              <w:rPr>
                <w:rFonts w:ascii="Times New Roman" w:eastAsia="Times New Roman" w:hAnsi="Times New Roman"/>
                <w:sz w:val="12"/>
              </w:rPr>
            </w:pPr>
          </w:p>
        </w:tc>
        <w:tc>
          <w:tcPr>
            <w:tcW w:w="6660" w:type="dxa"/>
            <w:tcBorders>
              <w:bottom w:val="single" w:sz="8" w:space="0" w:color="auto"/>
              <w:right w:val="single" w:sz="8" w:space="0" w:color="auto"/>
            </w:tcBorders>
            <w:shd w:val="clear" w:color="auto" w:fill="auto"/>
            <w:vAlign w:val="bottom"/>
          </w:tcPr>
          <w:p w14:paraId="27679F5E" w14:textId="77777777" w:rsidR="00E05D9F" w:rsidRDefault="00E05D9F">
            <w:pPr>
              <w:spacing w:line="0" w:lineRule="atLeast"/>
              <w:rPr>
                <w:rFonts w:ascii="Times New Roman" w:eastAsia="Times New Roman" w:hAnsi="Times New Roman"/>
                <w:sz w:val="12"/>
              </w:rPr>
            </w:pPr>
          </w:p>
        </w:tc>
      </w:tr>
      <w:tr w:rsidR="00E05D9F" w14:paraId="4C5483AB" w14:textId="77777777">
        <w:trPr>
          <w:trHeight w:val="262"/>
        </w:trPr>
        <w:tc>
          <w:tcPr>
            <w:tcW w:w="2080" w:type="dxa"/>
            <w:vMerge w:val="restart"/>
            <w:tcBorders>
              <w:left w:val="single" w:sz="8" w:space="0" w:color="auto"/>
              <w:right w:val="single" w:sz="8" w:space="0" w:color="auto"/>
            </w:tcBorders>
            <w:shd w:val="clear" w:color="auto" w:fill="auto"/>
            <w:vAlign w:val="bottom"/>
          </w:tcPr>
          <w:p w14:paraId="00D637E5" w14:textId="77777777" w:rsidR="00E05D9F" w:rsidRDefault="00E05D9F">
            <w:pPr>
              <w:spacing w:line="0" w:lineRule="atLeast"/>
              <w:ind w:left="340"/>
              <w:rPr>
                <w:sz w:val="13"/>
              </w:rPr>
            </w:pPr>
            <w:r>
              <w:rPr>
                <w:sz w:val="23"/>
              </w:rPr>
              <w:t>RKDG</w:t>
            </w:r>
            <w:r>
              <w:rPr>
                <w:sz w:val="13"/>
              </w:rPr>
              <w:t>brutto/netto</w:t>
            </w:r>
          </w:p>
        </w:tc>
        <w:tc>
          <w:tcPr>
            <w:tcW w:w="6660" w:type="dxa"/>
            <w:tcBorders>
              <w:right w:val="single" w:sz="8" w:space="0" w:color="auto"/>
            </w:tcBorders>
            <w:shd w:val="clear" w:color="auto" w:fill="auto"/>
            <w:vAlign w:val="bottom"/>
          </w:tcPr>
          <w:p w14:paraId="352AF70D" w14:textId="77777777" w:rsidR="00E05D9F" w:rsidRDefault="00E05D9F">
            <w:pPr>
              <w:spacing w:line="261" w:lineRule="exact"/>
              <w:ind w:left="300"/>
              <w:rPr>
                <w:w w:val="98"/>
                <w:sz w:val="23"/>
              </w:rPr>
            </w:pPr>
            <w:r>
              <w:rPr>
                <w:w w:val="98"/>
                <w:sz w:val="23"/>
              </w:rPr>
              <w:t>roczna alokacja kosztów brutto/netto infrastruktury przypadające na</w:t>
            </w:r>
          </w:p>
        </w:tc>
      </w:tr>
      <w:tr w:rsidR="00E05D9F" w14:paraId="4D232526" w14:textId="77777777">
        <w:trPr>
          <w:trHeight w:val="201"/>
        </w:trPr>
        <w:tc>
          <w:tcPr>
            <w:tcW w:w="2080" w:type="dxa"/>
            <w:vMerge/>
            <w:tcBorders>
              <w:left w:val="single" w:sz="8" w:space="0" w:color="auto"/>
              <w:right w:val="single" w:sz="8" w:space="0" w:color="auto"/>
            </w:tcBorders>
            <w:shd w:val="clear" w:color="auto" w:fill="auto"/>
            <w:vAlign w:val="bottom"/>
          </w:tcPr>
          <w:p w14:paraId="614C0336" w14:textId="77777777" w:rsidR="00E05D9F" w:rsidRDefault="00E05D9F">
            <w:pPr>
              <w:spacing w:line="0" w:lineRule="atLeast"/>
              <w:rPr>
                <w:rFonts w:ascii="Times New Roman" w:eastAsia="Times New Roman" w:hAnsi="Times New Roman"/>
                <w:sz w:val="17"/>
              </w:rPr>
            </w:pPr>
          </w:p>
        </w:tc>
        <w:tc>
          <w:tcPr>
            <w:tcW w:w="6660" w:type="dxa"/>
            <w:vMerge w:val="restart"/>
            <w:tcBorders>
              <w:right w:val="single" w:sz="8" w:space="0" w:color="auto"/>
            </w:tcBorders>
            <w:shd w:val="clear" w:color="auto" w:fill="auto"/>
            <w:vAlign w:val="bottom"/>
          </w:tcPr>
          <w:p w14:paraId="3C2406BC" w14:textId="77777777" w:rsidR="00E05D9F" w:rsidRDefault="00E05D9F">
            <w:pPr>
              <w:spacing w:line="0" w:lineRule="atLeast"/>
              <w:ind w:left="300"/>
              <w:rPr>
                <w:sz w:val="23"/>
              </w:rPr>
            </w:pPr>
            <w:r>
              <w:rPr>
                <w:sz w:val="23"/>
              </w:rPr>
              <w:t>działalność gospodarczą</w:t>
            </w:r>
          </w:p>
        </w:tc>
      </w:tr>
      <w:tr w:rsidR="00E05D9F" w14:paraId="61D2EFBB" w14:textId="77777777">
        <w:trPr>
          <w:trHeight w:val="204"/>
        </w:trPr>
        <w:tc>
          <w:tcPr>
            <w:tcW w:w="2080" w:type="dxa"/>
            <w:tcBorders>
              <w:left w:val="single" w:sz="8" w:space="0" w:color="auto"/>
              <w:right w:val="single" w:sz="8" w:space="0" w:color="auto"/>
            </w:tcBorders>
            <w:shd w:val="clear" w:color="auto" w:fill="auto"/>
            <w:vAlign w:val="bottom"/>
          </w:tcPr>
          <w:p w14:paraId="58550E40" w14:textId="77777777" w:rsidR="00E05D9F" w:rsidRDefault="00E05D9F">
            <w:pPr>
              <w:spacing w:line="0" w:lineRule="atLeast"/>
              <w:rPr>
                <w:rFonts w:ascii="Times New Roman" w:eastAsia="Times New Roman" w:hAnsi="Times New Roman"/>
                <w:sz w:val="17"/>
              </w:rPr>
            </w:pPr>
          </w:p>
        </w:tc>
        <w:tc>
          <w:tcPr>
            <w:tcW w:w="6660" w:type="dxa"/>
            <w:vMerge/>
            <w:tcBorders>
              <w:right w:val="single" w:sz="8" w:space="0" w:color="auto"/>
            </w:tcBorders>
            <w:shd w:val="clear" w:color="auto" w:fill="auto"/>
            <w:vAlign w:val="bottom"/>
          </w:tcPr>
          <w:p w14:paraId="52109939" w14:textId="77777777" w:rsidR="00E05D9F" w:rsidRDefault="00E05D9F">
            <w:pPr>
              <w:spacing w:line="0" w:lineRule="atLeast"/>
              <w:rPr>
                <w:rFonts w:ascii="Times New Roman" w:eastAsia="Times New Roman" w:hAnsi="Times New Roman"/>
                <w:sz w:val="17"/>
              </w:rPr>
            </w:pPr>
          </w:p>
        </w:tc>
      </w:tr>
      <w:tr w:rsidR="00E05D9F" w14:paraId="209870ED" w14:textId="77777777">
        <w:trPr>
          <w:trHeight w:val="139"/>
        </w:trPr>
        <w:tc>
          <w:tcPr>
            <w:tcW w:w="2080" w:type="dxa"/>
            <w:tcBorders>
              <w:left w:val="single" w:sz="8" w:space="0" w:color="auto"/>
              <w:bottom w:val="single" w:sz="8" w:space="0" w:color="auto"/>
              <w:right w:val="single" w:sz="8" w:space="0" w:color="auto"/>
            </w:tcBorders>
            <w:shd w:val="clear" w:color="auto" w:fill="auto"/>
            <w:vAlign w:val="bottom"/>
          </w:tcPr>
          <w:p w14:paraId="7443B278" w14:textId="77777777" w:rsidR="00E05D9F" w:rsidRDefault="00E05D9F">
            <w:pPr>
              <w:spacing w:line="0" w:lineRule="atLeast"/>
              <w:rPr>
                <w:rFonts w:ascii="Times New Roman" w:eastAsia="Times New Roman" w:hAnsi="Times New Roman"/>
                <w:sz w:val="12"/>
              </w:rPr>
            </w:pPr>
          </w:p>
        </w:tc>
        <w:tc>
          <w:tcPr>
            <w:tcW w:w="6660" w:type="dxa"/>
            <w:tcBorders>
              <w:bottom w:val="single" w:sz="8" w:space="0" w:color="auto"/>
              <w:right w:val="single" w:sz="8" w:space="0" w:color="auto"/>
            </w:tcBorders>
            <w:shd w:val="clear" w:color="auto" w:fill="auto"/>
            <w:vAlign w:val="bottom"/>
          </w:tcPr>
          <w:p w14:paraId="6422A81E" w14:textId="77777777" w:rsidR="00E05D9F" w:rsidRDefault="00E05D9F">
            <w:pPr>
              <w:spacing w:line="0" w:lineRule="atLeast"/>
              <w:rPr>
                <w:rFonts w:ascii="Times New Roman" w:eastAsia="Times New Roman" w:hAnsi="Times New Roman"/>
                <w:sz w:val="12"/>
              </w:rPr>
            </w:pPr>
          </w:p>
        </w:tc>
      </w:tr>
      <w:tr w:rsidR="00E05D9F" w14:paraId="64E57316" w14:textId="77777777">
        <w:trPr>
          <w:trHeight w:val="246"/>
        </w:trPr>
        <w:tc>
          <w:tcPr>
            <w:tcW w:w="2080" w:type="dxa"/>
            <w:vMerge w:val="restart"/>
            <w:tcBorders>
              <w:left w:val="single" w:sz="8" w:space="0" w:color="auto"/>
              <w:right w:val="single" w:sz="8" w:space="0" w:color="auto"/>
            </w:tcBorders>
            <w:shd w:val="clear" w:color="auto" w:fill="auto"/>
            <w:vAlign w:val="bottom"/>
          </w:tcPr>
          <w:p w14:paraId="1330E867" w14:textId="77777777" w:rsidR="00E05D9F" w:rsidRDefault="00E05D9F">
            <w:pPr>
              <w:spacing w:line="0" w:lineRule="atLeast"/>
              <w:ind w:left="340"/>
              <w:rPr>
                <w:sz w:val="13"/>
              </w:rPr>
            </w:pPr>
            <w:r>
              <w:rPr>
                <w:sz w:val="23"/>
              </w:rPr>
              <w:t>RKDG</w:t>
            </w:r>
            <w:r>
              <w:rPr>
                <w:sz w:val="13"/>
              </w:rPr>
              <w:t>brutto/netto n</w:t>
            </w:r>
          </w:p>
        </w:tc>
        <w:tc>
          <w:tcPr>
            <w:tcW w:w="6660" w:type="dxa"/>
            <w:tcBorders>
              <w:right w:val="single" w:sz="8" w:space="0" w:color="auto"/>
            </w:tcBorders>
            <w:shd w:val="clear" w:color="auto" w:fill="auto"/>
            <w:vAlign w:val="bottom"/>
          </w:tcPr>
          <w:p w14:paraId="565062A7" w14:textId="77777777" w:rsidR="00E05D9F" w:rsidRDefault="00E05D9F">
            <w:pPr>
              <w:spacing w:line="246" w:lineRule="exact"/>
              <w:ind w:left="300"/>
              <w:rPr>
                <w:sz w:val="23"/>
              </w:rPr>
            </w:pPr>
            <w:r>
              <w:rPr>
                <w:sz w:val="23"/>
              </w:rPr>
              <w:t>kwota kosztów brutto/netto infrastruktury przypadających na</w:t>
            </w:r>
          </w:p>
        </w:tc>
      </w:tr>
      <w:tr w:rsidR="00E05D9F" w14:paraId="61012C10" w14:textId="77777777">
        <w:trPr>
          <w:trHeight w:val="217"/>
        </w:trPr>
        <w:tc>
          <w:tcPr>
            <w:tcW w:w="2080" w:type="dxa"/>
            <w:vMerge/>
            <w:tcBorders>
              <w:left w:val="single" w:sz="8" w:space="0" w:color="auto"/>
              <w:right w:val="single" w:sz="8" w:space="0" w:color="auto"/>
            </w:tcBorders>
            <w:shd w:val="clear" w:color="auto" w:fill="auto"/>
            <w:vAlign w:val="bottom"/>
          </w:tcPr>
          <w:p w14:paraId="517D0BB3" w14:textId="77777777" w:rsidR="00E05D9F" w:rsidRDefault="00E05D9F">
            <w:pPr>
              <w:spacing w:line="0" w:lineRule="atLeast"/>
              <w:rPr>
                <w:rFonts w:ascii="Times New Roman" w:eastAsia="Times New Roman" w:hAnsi="Times New Roman"/>
                <w:sz w:val="18"/>
              </w:rPr>
            </w:pPr>
          </w:p>
        </w:tc>
        <w:tc>
          <w:tcPr>
            <w:tcW w:w="6660" w:type="dxa"/>
            <w:vMerge w:val="restart"/>
            <w:tcBorders>
              <w:right w:val="single" w:sz="8" w:space="0" w:color="auto"/>
            </w:tcBorders>
            <w:shd w:val="clear" w:color="auto" w:fill="auto"/>
            <w:vAlign w:val="bottom"/>
          </w:tcPr>
          <w:p w14:paraId="4536C3C5" w14:textId="77777777" w:rsidR="00E05D9F" w:rsidRDefault="00E05D9F">
            <w:pPr>
              <w:spacing w:line="0" w:lineRule="atLeast"/>
              <w:ind w:left="300"/>
              <w:rPr>
                <w:sz w:val="23"/>
              </w:rPr>
            </w:pPr>
            <w:r>
              <w:rPr>
                <w:sz w:val="23"/>
              </w:rPr>
              <w:t>działalność gospodarczą w roku „n”</w:t>
            </w:r>
          </w:p>
        </w:tc>
      </w:tr>
      <w:tr w:rsidR="00E05D9F" w14:paraId="1E494FA7" w14:textId="77777777">
        <w:trPr>
          <w:trHeight w:val="189"/>
        </w:trPr>
        <w:tc>
          <w:tcPr>
            <w:tcW w:w="2080" w:type="dxa"/>
            <w:tcBorders>
              <w:left w:val="single" w:sz="8" w:space="0" w:color="auto"/>
              <w:right w:val="single" w:sz="8" w:space="0" w:color="auto"/>
            </w:tcBorders>
            <w:shd w:val="clear" w:color="auto" w:fill="auto"/>
            <w:vAlign w:val="bottom"/>
          </w:tcPr>
          <w:p w14:paraId="0504574E" w14:textId="77777777" w:rsidR="00E05D9F" w:rsidRDefault="00E05D9F">
            <w:pPr>
              <w:spacing w:line="0" w:lineRule="atLeast"/>
              <w:rPr>
                <w:rFonts w:ascii="Times New Roman" w:eastAsia="Times New Roman" w:hAnsi="Times New Roman"/>
                <w:sz w:val="16"/>
              </w:rPr>
            </w:pPr>
          </w:p>
        </w:tc>
        <w:tc>
          <w:tcPr>
            <w:tcW w:w="6660" w:type="dxa"/>
            <w:vMerge/>
            <w:tcBorders>
              <w:right w:val="single" w:sz="8" w:space="0" w:color="auto"/>
            </w:tcBorders>
            <w:shd w:val="clear" w:color="auto" w:fill="auto"/>
            <w:vAlign w:val="bottom"/>
          </w:tcPr>
          <w:p w14:paraId="1295F79F" w14:textId="77777777" w:rsidR="00E05D9F" w:rsidRDefault="00E05D9F">
            <w:pPr>
              <w:spacing w:line="0" w:lineRule="atLeast"/>
              <w:rPr>
                <w:rFonts w:ascii="Times New Roman" w:eastAsia="Times New Roman" w:hAnsi="Times New Roman"/>
                <w:sz w:val="16"/>
              </w:rPr>
            </w:pPr>
          </w:p>
        </w:tc>
      </w:tr>
      <w:tr w:rsidR="00E05D9F" w14:paraId="6BFE4316" w14:textId="77777777">
        <w:trPr>
          <w:trHeight w:val="139"/>
        </w:trPr>
        <w:tc>
          <w:tcPr>
            <w:tcW w:w="2080" w:type="dxa"/>
            <w:tcBorders>
              <w:left w:val="single" w:sz="8" w:space="0" w:color="auto"/>
              <w:bottom w:val="single" w:sz="8" w:space="0" w:color="auto"/>
              <w:right w:val="single" w:sz="8" w:space="0" w:color="auto"/>
            </w:tcBorders>
            <w:shd w:val="clear" w:color="auto" w:fill="auto"/>
            <w:vAlign w:val="bottom"/>
          </w:tcPr>
          <w:p w14:paraId="7D8178AE" w14:textId="77777777" w:rsidR="00E05D9F" w:rsidRDefault="00E05D9F">
            <w:pPr>
              <w:spacing w:line="0" w:lineRule="atLeast"/>
              <w:rPr>
                <w:rFonts w:ascii="Times New Roman" w:eastAsia="Times New Roman" w:hAnsi="Times New Roman"/>
                <w:sz w:val="12"/>
              </w:rPr>
            </w:pPr>
          </w:p>
        </w:tc>
        <w:tc>
          <w:tcPr>
            <w:tcW w:w="6660" w:type="dxa"/>
            <w:tcBorders>
              <w:bottom w:val="single" w:sz="8" w:space="0" w:color="auto"/>
              <w:right w:val="single" w:sz="8" w:space="0" w:color="auto"/>
            </w:tcBorders>
            <w:shd w:val="clear" w:color="auto" w:fill="auto"/>
            <w:vAlign w:val="bottom"/>
          </w:tcPr>
          <w:p w14:paraId="6AFFA232" w14:textId="77777777" w:rsidR="00E05D9F" w:rsidRDefault="00E05D9F">
            <w:pPr>
              <w:spacing w:line="0" w:lineRule="atLeast"/>
              <w:rPr>
                <w:rFonts w:ascii="Times New Roman" w:eastAsia="Times New Roman" w:hAnsi="Times New Roman"/>
                <w:sz w:val="12"/>
              </w:rPr>
            </w:pPr>
          </w:p>
        </w:tc>
      </w:tr>
      <w:tr w:rsidR="00E05D9F" w14:paraId="2A48B59D" w14:textId="77777777">
        <w:trPr>
          <w:trHeight w:val="261"/>
        </w:trPr>
        <w:tc>
          <w:tcPr>
            <w:tcW w:w="2080" w:type="dxa"/>
            <w:vMerge w:val="restart"/>
            <w:tcBorders>
              <w:left w:val="single" w:sz="8" w:space="0" w:color="auto"/>
              <w:right w:val="single" w:sz="8" w:space="0" w:color="auto"/>
            </w:tcBorders>
            <w:shd w:val="clear" w:color="auto" w:fill="auto"/>
            <w:vAlign w:val="bottom"/>
          </w:tcPr>
          <w:p w14:paraId="146084A0" w14:textId="77777777" w:rsidR="00E05D9F" w:rsidRDefault="00E05D9F">
            <w:pPr>
              <w:spacing w:line="0" w:lineRule="atLeast"/>
              <w:ind w:left="340"/>
              <w:rPr>
                <w:sz w:val="13"/>
              </w:rPr>
            </w:pPr>
            <w:r>
              <w:rPr>
                <w:sz w:val="23"/>
              </w:rPr>
              <w:t>RKDNG</w:t>
            </w:r>
            <w:r>
              <w:rPr>
                <w:sz w:val="13"/>
              </w:rPr>
              <w:t>brutto/netto</w:t>
            </w:r>
          </w:p>
        </w:tc>
        <w:tc>
          <w:tcPr>
            <w:tcW w:w="6660" w:type="dxa"/>
            <w:tcBorders>
              <w:right w:val="single" w:sz="8" w:space="0" w:color="auto"/>
            </w:tcBorders>
            <w:shd w:val="clear" w:color="auto" w:fill="auto"/>
            <w:vAlign w:val="bottom"/>
          </w:tcPr>
          <w:p w14:paraId="55CCBBAD" w14:textId="77777777" w:rsidR="00E05D9F" w:rsidRDefault="00E05D9F">
            <w:pPr>
              <w:spacing w:line="261" w:lineRule="exact"/>
              <w:ind w:left="300"/>
              <w:rPr>
                <w:w w:val="98"/>
                <w:sz w:val="23"/>
              </w:rPr>
            </w:pPr>
            <w:r>
              <w:rPr>
                <w:w w:val="98"/>
                <w:sz w:val="23"/>
              </w:rPr>
              <w:t>roczna alokacja kosztów brutto/netto infrastruktury przypadające na</w:t>
            </w:r>
          </w:p>
        </w:tc>
      </w:tr>
      <w:tr w:rsidR="00E05D9F" w14:paraId="744DF7D5" w14:textId="77777777">
        <w:trPr>
          <w:trHeight w:val="201"/>
        </w:trPr>
        <w:tc>
          <w:tcPr>
            <w:tcW w:w="2080" w:type="dxa"/>
            <w:vMerge/>
            <w:tcBorders>
              <w:left w:val="single" w:sz="8" w:space="0" w:color="auto"/>
              <w:right w:val="single" w:sz="8" w:space="0" w:color="auto"/>
            </w:tcBorders>
            <w:shd w:val="clear" w:color="auto" w:fill="auto"/>
            <w:vAlign w:val="bottom"/>
          </w:tcPr>
          <w:p w14:paraId="426C12BD" w14:textId="77777777" w:rsidR="00E05D9F" w:rsidRDefault="00E05D9F">
            <w:pPr>
              <w:spacing w:line="0" w:lineRule="atLeast"/>
              <w:rPr>
                <w:rFonts w:ascii="Times New Roman" w:eastAsia="Times New Roman" w:hAnsi="Times New Roman"/>
                <w:sz w:val="17"/>
              </w:rPr>
            </w:pPr>
          </w:p>
        </w:tc>
        <w:tc>
          <w:tcPr>
            <w:tcW w:w="6660" w:type="dxa"/>
            <w:vMerge w:val="restart"/>
            <w:tcBorders>
              <w:right w:val="single" w:sz="8" w:space="0" w:color="auto"/>
            </w:tcBorders>
            <w:shd w:val="clear" w:color="auto" w:fill="auto"/>
            <w:vAlign w:val="bottom"/>
          </w:tcPr>
          <w:p w14:paraId="4717BA2C" w14:textId="77777777" w:rsidR="00E05D9F" w:rsidRDefault="00E05D9F">
            <w:pPr>
              <w:spacing w:line="0" w:lineRule="atLeast"/>
              <w:ind w:left="300"/>
              <w:rPr>
                <w:sz w:val="23"/>
              </w:rPr>
            </w:pPr>
            <w:r>
              <w:rPr>
                <w:sz w:val="23"/>
              </w:rPr>
              <w:t>działalność niegospodarczą</w:t>
            </w:r>
          </w:p>
        </w:tc>
      </w:tr>
      <w:tr w:rsidR="00E05D9F" w14:paraId="09ECC619" w14:textId="77777777">
        <w:trPr>
          <w:trHeight w:val="189"/>
        </w:trPr>
        <w:tc>
          <w:tcPr>
            <w:tcW w:w="2080" w:type="dxa"/>
            <w:tcBorders>
              <w:left w:val="single" w:sz="8" w:space="0" w:color="auto"/>
              <w:right w:val="single" w:sz="8" w:space="0" w:color="auto"/>
            </w:tcBorders>
            <w:shd w:val="clear" w:color="auto" w:fill="auto"/>
            <w:vAlign w:val="bottom"/>
          </w:tcPr>
          <w:p w14:paraId="6E299C04" w14:textId="77777777" w:rsidR="00E05D9F" w:rsidRDefault="00E05D9F">
            <w:pPr>
              <w:spacing w:line="0" w:lineRule="atLeast"/>
              <w:rPr>
                <w:rFonts w:ascii="Times New Roman" w:eastAsia="Times New Roman" w:hAnsi="Times New Roman"/>
                <w:sz w:val="16"/>
              </w:rPr>
            </w:pPr>
          </w:p>
        </w:tc>
        <w:tc>
          <w:tcPr>
            <w:tcW w:w="6660" w:type="dxa"/>
            <w:vMerge/>
            <w:tcBorders>
              <w:right w:val="single" w:sz="8" w:space="0" w:color="auto"/>
            </w:tcBorders>
            <w:shd w:val="clear" w:color="auto" w:fill="auto"/>
            <w:vAlign w:val="bottom"/>
          </w:tcPr>
          <w:p w14:paraId="4D53262F" w14:textId="77777777" w:rsidR="00E05D9F" w:rsidRDefault="00E05D9F">
            <w:pPr>
              <w:spacing w:line="0" w:lineRule="atLeast"/>
              <w:rPr>
                <w:rFonts w:ascii="Times New Roman" w:eastAsia="Times New Roman" w:hAnsi="Times New Roman"/>
                <w:sz w:val="16"/>
              </w:rPr>
            </w:pPr>
          </w:p>
        </w:tc>
      </w:tr>
      <w:tr w:rsidR="00E05D9F" w14:paraId="2EC1BE14" w14:textId="77777777">
        <w:trPr>
          <w:trHeight w:val="140"/>
        </w:trPr>
        <w:tc>
          <w:tcPr>
            <w:tcW w:w="2080" w:type="dxa"/>
            <w:tcBorders>
              <w:left w:val="single" w:sz="8" w:space="0" w:color="auto"/>
              <w:bottom w:val="single" w:sz="8" w:space="0" w:color="auto"/>
              <w:right w:val="single" w:sz="8" w:space="0" w:color="auto"/>
            </w:tcBorders>
            <w:shd w:val="clear" w:color="auto" w:fill="auto"/>
            <w:vAlign w:val="bottom"/>
          </w:tcPr>
          <w:p w14:paraId="5B786B92" w14:textId="77777777" w:rsidR="00E05D9F" w:rsidRDefault="00E05D9F">
            <w:pPr>
              <w:spacing w:line="0" w:lineRule="atLeast"/>
              <w:rPr>
                <w:rFonts w:ascii="Times New Roman" w:eastAsia="Times New Roman" w:hAnsi="Times New Roman"/>
                <w:sz w:val="12"/>
              </w:rPr>
            </w:pPr>
          </w:p>
        </w:tc>
        <w:tc>
          <w:tcPr>
            <w:tcW w:w="6660" w:type="dxa"/>
            <w:tcBorders>
              <w:bottom w:val="single" w:sz="8" w:space="0" w:color="auto"/>
              <w:right w:val="single" w:sz="8" w:space="0" w:color="auto"/>
            </w:tcBorders>
            <w:shd w:val="clear" w:color="auto" w:fill="auto"/>
            <w:vAlign w:val="bottom"/>
          </w:tcPr>
          <w:p w14:paraId="35C3AC9C" w14:textId="77777777" w:rsidR="00E05D9F" w:rsidRDefault="00E05D9F">
            <w:pPr>
              <w:spacing w:line="0" w:lineRule="atLeast"/>
              <w:rPr>
                <w:rFonts w:ascii="Times New Roman" w:eastAsia="Times New Roman" w:hAnsi="Times New Roman"/>
                <w:sz w:val="12"/>
              </w:rPr>
            </w:pPr>
          </w:p>
        </w:tc>
      </w:tr>
      <w:tr w:rsidR="00E05D9F" w14:paraId="75A0C8A3" w14:textId="77777777">
        <w:trPr>
          <w:trHeight w:val="261"/>
        </w:trPr>
        <w:tc>
          <w:tcPr>
            <w:tcW w:w="2080" w:type="dxa"/>
            <w:vMerge w:val="restart"/>
            <w:tcBorders>
              <w:left w:val="single" w:sz="8" w:space="0" w:color="auto"/>
              <w:right w:val="single" w:sz="8" w:space="0" w:color="auto"/>
            </w:tcBorders>
            <w:shd w:val="clear" w:color="auto" w:fill="auto"/>
            <w:vAlign w:val="bottom"/>
          </w:tcPr>
          <w:p w14:paraId="59A5E433" w14:textId="77777777" w:rsidR="00E05D9F" w:rsidRDefault="00E05D9F">
            <w:pPr>
              <w:spacing w:line="0" w:lineRule="atLeast"/>
              <w:ind w:left="340"/>
              <w:rPr>
                <w:sz w:val="13"/>
              </w:rPr>
            </w:pPr>
            <w:r>
              <w:rPr>
                <w:sz w:val="23"/>
              </w:rPr>
              <w:t>RKDNG</w:t>
            </w:r>
            <w:r>
              <w:rPr>
                <w:sz w:val="13"/>
              </w:rPr>
              <w:t>brutto/netto n</w:t>
            </w:r>
          </w:p>
        </w:tc>
        <w:tc>
          <w:tcPr>
            <w:tcW w:w="6660" w:type="dxa"/>
            <w:tcBorders>
              <w:right w:val="single" w:sz="8" w:space="0" w:color="auto"/>
            </w:tcBorders>
            <w:shd w:val="clear" w:color="auto" w:fill="auto"/>
            <w:vAlign w:val="bottom"/>
          </w:tcPr>
          <w:p w14:paraId="4C3057B0" w14:textId="77777777" w:rsidR="00E05D9F" w:rsidRDefault="00E05D9F">
            <w:pPr>
              <w:spacing w:line="261" w:lineRule="exact"/>
              <w:ind w:left="300"/>
              <w:rPr>
                <w:sz w:val="23"/>
              </w:rPr>
            </w:pPr>
            <w:r>
              <w:rPr>
                <w:sz w:val="23"/>
              </w:rPr>
              <w:t>kwota kosztów brutto/netto infrastruktury przypadających na</w:t>
            </w:r>
          </w:p>
        </w:tc>
      </w:tr>
      <w:tr w:rsidR="00E05D9F" w14:paraId="66471AA3" w14:textId="77777777">
        <w:trPr>
          <w:trHeight w:val="202"/>
        </w:trPr>
        <w:tc>
          <w:tcPr>
            <w:tcW w:w="2080" w:type="dxa"/>
            <w:vMerge/>
            <w:tcBorders>
              <w:left w:val="single" w:sz="8" w:space="0" w:color="auto"/>
              <w:right w:val="single" w:sz="8" w:space="0" w:color="auto"/>
            </w:tcBorders>
            <w:shd w:val="clear" w:color="auto" w:fill="auto"/>
            <w:vAlign w:val="bottom"/>
          </w:tcPr>
          <w:p w14:paraId="343DFCEB" w14:textId="77777777" w:rsidR="00E05D9F" w:rsidRDefault="00E05D9F">
            <w:pPr>
              <w:spacing w:line="0" w:lineRule="atLeast"/>
              <w:rPr>
                <w:rFonts w:ascii="Times New Roman" w:eastAsia="Times New Roman" w:hAnsi="Times New Roman"/>
                <w:sz w:val="17"/>
              </w:rPr>
            </w:pPr>
          </w:p>
        </w:tc>
        <w:tc>
          <w:tcPr>
            <w:tcW w:w="6660" w:type="dxa"/>
            <w:vMerge w:val="restart"/>
            <w:tcBorders>
              <w:right w:val="single" w:sz="8" w:space="0" w:color="auto"/>
            </w:tcBorders>
            <w:shd w:val="clear" w:color="auto" w:fill="auto"/>
            <w:vAlign w:val="bottom"/>
          </w:tcPr>
          <w:p w14:paraId="491C85D5" w14:textId="77777777" w:rsidR="00E05D9F" w:rsidRDefault="00E05D9F">
            <w:pPr>
              <w:spacing w:line="0" w:lineRule="atLeast"/>
              <w:ind w:left="300"/>
              <w:rPr>
                <w:sz w:val="23"/>
              </w:rPr>
            </w:pPr>
            <w:r>
              <w:rPr>
                <w:sz w:val="23"/>
              </w:rPr>
              <w:t>działalność niegospodarczą w roku „n”</w:t>
            </w:r>
          </w:p>
        </w:tc>
      </w:tr>
      <w:tr w:rsidR="00E05D9F" w14:paraId="11AAE6A9" w14:textId="77777777">
        <w:trPr>
          <w:trHeight w:val="204"/>
        </w:trPr>
        <w:tc>
          <w:tcPr>
            <w:tcW w:w="2080" w:type="dxa"/>
            <w:tcBorders>
              <w:left w:val="single" w:sz="8" w:space="0" w:color="auto"/>
              <w:right w:val="single" w:sz="8" w:space="0" w:color="auto"/>
            </w:tcBorders>
            <w:shd w:val="clear" w:color="auto" w:fill="auto"/>
            <w:vAlign w:val="bottom"/>
          </w:tcPr>
          <w:p w14:paraId="50D5CC62" w14:textId="77777777" w:rsidR="00E05D9F" w:rsidRDefault="00E05D9F">
            <w:pPr>
              <w:spacing w:line="0" w:lineRule="atLeast"/>
              <w:rPr>
                <w:rFonts w:ascii="Times New Roman" w:eastAsia="Times New Roman" w:hAnsi="Times New Roman"/>
                <w:sz w:val="17"/>
              </w:rPr>
            </w:pPr>
          </w:p>
        </w:tc>
        <w:tc>
          <w:tcPr>
            <w:tcW w:w="6660" w:type="dxa"/>
            <w:vMerge/>
            <w:tcBorders>
              <w:right w:val="single" w:sz="8" w:space="0" w:color="auto"/>
            </w:tcBorders>
            <w:shd w:val="clear" w:color="auto" w:fill="auto"/>
            <w:vAlign w:val="bottom"/>
          </w:tcPr>
          <w:p w14:paraId="350EBE65" w14:textId="77777777" w:rsidR="00E05D9F" w:rsidRDefault="00E05D9F">
            <w:pPr>
              <w:spacing w:line="0" w:lineRule="atLeast"/>
              <w:rPr>
                <w:rFonts w:ascii="Times New Roman" w:eastAsia="Times New Roman" w:hAnsi="Times New Roman"/>
                <w:sz w:val="17"/>
              </w:rPr>
            </w:pPr>
          </w:p>
        </w:tc>
      </w:tr>
      <w:tr w:rsidR="00E05D9F" w14:paraId="73B1FCD3" w14:textId="77777777">
        <w:trPr>
          <w:trHeight w:val="139"/>
        </w:trPr>
        <w:tc>
          <w:tcPr>
            <w:tcW w:w="2080" w:type="dxa"/>
            <w:tcBorders>
              <w:left w:val="single" w:sz="8" w:space="0" w:color="auto"/>
              <w:bottom w:val="single" w:sz="8" w:space="0" w:color="auto"/>
              <w:right w:val="single" w:sz="8" w:space="0" w:color="auto"/>
            </w:tcBorders>
            <w:shd w:val="clear" w:color="auto" w:fill="auto"/>
            <w:vAlign w:val="bottom"/>
          </w:tcPr>
          <w:p w14:paraId="645F9D2F" w14:textId="77777777" w:rsidR="00E05D9F" w:rsidRDefault="00E05D9F">
            <w:pPr>
              <w:spacing w:line="0" w:lineRule="atLeast"/>
              <w:rPr>
                <w:rFonts w:ascii="Times New Roman" w:eastAsia="Times New Roman" w:hAnsi="Times New Roman"/>
                <w:sz w:val="12"/>
              </w:rPr>
            </w:pPr>
          </w:p>
        </w:tc>
        <w:tc>
          <w:tcPr>
            <w:tcW w:w="6660" w:type="dxa"/>
            <w:tcBorders>
              <w:bottom w:val="single" w:sz="8" w:space="0" w:color="auto"/>
              <w:right w:val="single" w:sz="8" w:space="0" w:color="auto"/>
            </w:tcBorders>
            <w:shd w:val="clear" w:color="auto" w:fill="auto"/>
            <w:vAlign w:val="bottom"/>
          </w:tcPr>
          <w:p w14:paraId="431E1254" w14:textId="77777777" w:rsidR="00E05D9F" w:rsidRDefault="00E05D9F">
            <w:pPr>
              <w:spacing w:line="0" w:lineRule="atLeast"/>
              <w:rPr>
                <w:rFonts w:ascii="Times New Roman" w:eastAsia="Times New Roman" w:hAnsi="Times New Roman"/>
                <w:sz w:val="12"/>
              </w:rPr>
            </w:pPr>
          </w:p>
        </w:tc>
      </w:tr>
      <w:tr w:rsidR="00E05D9F" w14:paraId="2E186DF1" w14:textId="77777777">
        <w:trPr>
          <w:trHeight w:val="246"/>
        </w:trPr>
        <w:tc>
          <w:tcPr>
            <w:tcW w:w="2080" w:type="dxa"/>
            <w:tcBorders>
              <w:left w:val="single" w:sz="8" w:space="0" w:color="auto"/>
              <w:right w:val="single" w:sz="8" w:space="0" w:color="auto"/>
            </w:tcBorders>
            <w:shd w:val="clear" w:color="auto" w:fill="auto"/>
            <w:vAlign w:val="bottom"/>
          </w:tcPr>
          <w:p w14:paraId="0E3D2277" w14:textId="77777777" w:rsidR="00E05D9F" w:rsidRDefault="00E05D9F">
            <w:pPr>
              <w:spacing w:line="246" w:lineRule="exact"/>
              <w:ind w:left="340"/>
              <w:rPr>
                <w:sz w:val="23"/>
              </w:rPr>
            </w:pPr>
            <w:r>
              <w:rPr>
                <w:sz w:val="23"/>
              </w:rPr>
              <w:t>RKK</w:t>
            </w:r>
          </w:p>
        </w:tc>
        <w:tc>
          <w:tcPr>
            <w:tcW w:w="6660" w:type="dxa"/>
            <w:tcBorders>
              <w:right w:val="single" w:sz="8" w:space="0" w:color="auto"/>
            </w:tcBorders>
            <w:shd w:val="clear" w:color="auto" w:fill="auto"/>
            <w:vAlign w:val="bottom"/>
          </w:tcPr>
          <w:p w14:paraId="5A5FF3CA" w14:textId="77777777" w:rsidR="00E05D9F" w:rsidRDefault="00E05D9F">
            <w:pPr>
              <w:spacing w:line="246" w:lineRule="exact"/>
              <w:ind w:left="300"/>
              <w:rPr>
                <w:sz w:val="23"/>
              </w:rPr>
            </w:pPr>
            <w:r>
              <w:rPr>
                <w:sz w:val="23"/>
              </w:rPr>
              <w:t>roczna alokacja kosztów kwalifikowalnych projektu</w:t>
            </w:r>
          </w:p>
        </w:tc>
      </w:tr>
      <w:tr w:rsidR="00E05D9F" w14:paraId="0D33079A" w14:textId="77777777">
        <w:trPr>
          <w:trHeight w:val="139"/>
        </w:trPr>
        <w:tc>
          <w:tcPr>
            <w:tcW w:w="2080" w:type="dxa"/>
            <w:tcBorders>
              <w:left w:val="single" w:sz="8" w:space="0" w:color="auto"/>
              <w:bottom w:val="single" w:sz="8" w:space="0" w:color="auto"/>
              <w:right w:val="single" w:sz="8" w:space="0" w:color="auto"/>
            </w:tcBorders>
            <w:shd w:val="clear" w:color="auto" w:fill="auto"/>
            <w:vAlign w:val="bottom"/>
          </w:tcPr>
          <w:p w14:paraId="7A3E7D0E" w14:textId="77777777" w:rsidR="00E05D9F" w:rsidRDefault="00E05D9F">
            <w:pPr>
              <w:spacing w:line="0" w:lineRule="atLeast"/>
              <w:rPr>
                <w:rFonts w:ascii="Times New Roman" w:eastAsia="Times New Roman" w:hAnsi="Times New Roman"/>
                <w:sz w:val="12"/>
              </w:rPr>
            </w:pPr>
          </w:p>
        </w:tc>
        <w:tc>
          <w:tcPr>
            <w:tcW w:w="6660" w:type="dxa"/>
            <w:tcBorders>
              <w:bottom w:val="single" w:sz="8" w:space="0" w:color="auto"/>
              <w:right w:val="single" w:sz="8" w:space="0" w:color="auto"/>
            </w:tcBorders>
            <w:shd w:val="clear" w:color="auto" w:fill="auto"/>
            <w:vAlign w:val="bottom"/>
          </w:tcPr>
          <w:p w14:paraId="4A507F5E" w14:textId="77777777" w:rsidR="00E05D9F" w:rsidRDefault="00E05D9F">
            <w:pPr>
              <w:spacing w:line="0" w:lineRule="atLeast"/>
              <w:rPr>
                <w:rFonts w:ascii="Times New Roman" w:eastAsia="Times New Roman" w:hAnsi="Times New Roman"/>
                <w:sz w:val="12"/>
              </w:rPr>
            </w:pPr>
          </w:p>
        </w:tc>
      </w:tr>
      <w:tr w:rsidR="00E05D9F" w14:paraId="0C39A3CD" w14:textId="77777777">
        <w:trPr>
          <w:trHeight w:val="267"/>
        </w:trPr>
        <w:tc>
          <w:tcPr>
            <w:tcW w:w="2080" w:type="dxa"/>
            <w:tcBorders>
              <w:left w:val="single" w:sz="8" w:space="0" w:color="auto"/>
              <w:right w:val="single" w:sz="8" w:space="0" w:color="auto"/>
            </w:tcBorders>
            <w:shd w:val="clear" w:color="auto" w:fill="auto"/>
            <w:vAlign w:val="bottom"/>
          </w:tcPr>
          <w:p w14:paraId="79B7593D" w14:textId="77777777" w:rsidR="00E05D9F" w:rsidRDefault="00E05D9F">
            <w:pPr>
              <w:spacing w:line="267" w:lineRule="exact"/>
              <w:ind w:left="340"/>
              <w:rPr>
                <w:sz w:val="13"/>
              </w:rPr>
            </w:pPr>
            <w:r>
              <w:rPr>
                <w:sz w:val="23"/>
              </w:rPr>
              <w:t>RKK</w:t>
            </w:r>
            <w:r>
              <w:rPr>
                <w:sz w:val="13"/>
              </w:rPr>
              <w:t>brutto/netto</w:t>
            </w:r>
          </w:p>
        </w:tc>
        <w:tc>
          <w:tcPr>
            <w:tcW w:w="6660" w:type="dxa"/>
            <w:tcBorders>
              <w:right w:val="single" w:sz="8" w:space="0" w:color="auto"/>
            </w:tcBorders>
            <w:shd w:val="clear" w:color="auto" w:fill="auto"/>
            <w:vAlign w:val="bottom"/>
          </w:tcPr>
          <w:p w14:paraId="09E75F24" w14:textId="77777777" w:rsidR="00E05D9F" w:rsidRDefault="00E05D9F">
            <w:pPr>
              <w:spacing w:line="261" w:lineRule="exact"/>
              <w:ind w:left="300"/>
              <w:rPr>
                <w:sz w:val="23"/>
              </w:rPr>
            </w:pPr>
            <w:r>
              <w:rPr>
                <w:sz w:val="23"/>
              </w:rPr>
              <w:t>roczna alokacja kosztów kwalifikowalnych projektu brutto/netto</w:t>
            </w:r>
          </w:p>
        </w:tc>
      </w:tr>
      <w:tr w:rsidR="00E05D9F" w14:paraId="5DA8ABAD" w14:textId="77777777">
        <w:trPr>
          <w:trHeight w:val="134"/>
        </w:trPr>
        <w:tc>
          <w:tcPr>
            <w:tcW w:w="2080" w:type="dxa"/>
            <w:tcBorders>
              <w:left w:val="single" w:sz="8" w:space="0" w:color="auto"/>
              <w:bottom w:val="single" w:sz="8" w:space="0" w:color="auto"/>
              <w:right w:val="single" w:sz="8" w:space="0" w:color="auto"/>
            </w:tcBorders>
            <w:shd w:val="clear" w:color="auto" w:fill="auto"/>
            <w:vAlign w:val="bottom"/>
          </w:tcPr>
          <w:p w14:paraId="1A4D9A09" w14:textId="77777777" w:rsidR="00E05D9F" w:rsidRDefault="00E05D9F">
            <w:pPr>
              <w:spacing w:line="0" w:lineRule="atLeast"/>
              <w:rPr>
                <w:rFonts w:ascii="Times New Roman" w:eastAsia="Times New Roman" w:hAnsi="Times New Roman"/>
                <w:sz w:val="11"/>
              </w:rPr>
            </w:pPr>
          </w:p>
        </w:tc>
        <w:tc>
          <w:tcPr>
            <w:tcW w:w="6660" w:type="dxa"/>
            <w:tcBorders>
              <w:bottom w:val="single" w:sz="8" w:space="0" w:color="auto"/>
              <w:right w:val="single" w:sz="8" w:space="0" w:color="auto"/>
            </w:tcBorders>
            <w:shd w:val="clear" w:color="auto" w:fill="auto"/>
            <w:vAlign w:val="bottom"/>
          </w:tcPr>
          <w:p w14:paraId="2E1B0557" w14:textId="77777777" w:rsidR="00E05D9F" w:rsidRDefault="00E05D9F">
            <w:pPr>
              <w:spacing w:line="0" w:lineRule="atLeast"/>
              <w:rPr>
                <w:rFonts w:ascii="Times New Roman" w:eastAsia="Times New Roman" w:hAnsi="Times New Roman"/>
                <w:sz w:val="11"/>
              </w:rPr>
            </w:pPr>
          </w:p>
        </w:tc>
      </w:tr>
      <w:tr w:rsidR="00E05D9F" w14:paraId="07872A1B" w14:textId="77777777">
        <w:trPr>
          <w:trHeight w:val="246"/>
        </w:trPr>
        <w:tc>
          <w:tcPr>
            <w:tcW w:w="2080" w:type="dxa"/>
            <w:tcBorders>
              <w:left w:val="single" w:sz="8" w:space="0" w:color="auto"/>
              <w:right w:val="single" w:sz="8" w:space="0" w:color="auto"/>
            </w:tcBorders>
            <w:shd w:val="clear" w:color="auto" w:fill="auto"/>
            <w:vAlign w:val="bottom"/>
          </w:tcPr>
          <w:p w14:paraId="2ACEFA38" w14:textId="77777777" w:rsidR="00E05D9F" w:rsidRDefault="00E05D9F">
            <w:pPr>
              <w:spacing w:line="246" w:lineRule="exact"/>
              <w:ind w:left="340"/>
              <w:rPr>
                <w:sz w:val="23"/>
              </w:rPr>
            </w:pPr>
            <w:r>
              <w:rPr>
                <w:sz w:val="23"/>
              </w:rPr>
              <w:t>s</w:t>
            </w:r>
          </w:p>
        </w:tc>
        <w:tc>
          <w:tcPr>
            <w:tcW w:w="6660" w:type="dxa"/>
            <w:tcBorders>
              <w:right w:val="single" w:sz="8" w:space="0" w:color="auto"/>
            </w:tcBorders>
            <w:shd w:val="clear" w:color="auto" w:fill="auto"/>
            <w:vAlign w:val="bottom"/>
          </w:tcPr>
          <w:p w14:paraId="6161FF2C" w14:textId="77777777" w:rsidR="00E05D9F" w:rsidRDefault="00E05D9F">
            <w:pPr>
              <w:spacing w:line="246" w:lineRule="exact"/>
              <w:ind w:left="300"/>
              <w:rPr>
                <w:sz w:val="23"/>
              </w:rPr>
            </w:pPr>
            <w:r>
              <w:rPr>
                <w:sz w:val="23"/>
              </w:rPr>
              <w:t>współczynnik sprzedaży</w:t>
            </w:r>
          </w:p>
        </w:tc>
      </w:tr>
      <w:tr w:rsidR="00E05D9F" w14:paraId="3AA7754F" w14:textId="77777777">
        <w:trPr>
          <w:trHeight w:val="139"/>
        </w:trPr>
        <w:tc>
          <w:tcPr>
            <w:tcW w:w="2080" w:type="dxa"/>
            <w:tcBorders>
              <w:left w:val="single" w:sz="8" w:space="0" w:color="auto"/>
              <w:bottom w:val="single" w:sz="8" w:space="0" w:color="auto"/>
              <w:right w:val="single" w:sz="8" w:space="0" w:color="auto"/>
            </w:tcBorders>
            <w:shd w:val="clear" w:color="auto" w:fill="auto"/>
            <w:vAlign w:val="bottom"/>
          </w:tcPr>
          <w:p w14:paraId="67670F98" w14:textId="77777777" w:rsidR="00E05D9F" w:rsidRDefault="00E05D9F">
            <w:pPr>
              <w:spacing w:line="0" w:lineRule="atLeast"/>
              <w:rPr>
                <w:rFonts w:ascii="Times New Roman" w:eastAsia="Times New Roman" w:hAnsi="Times New Roman"/>
                <w:sz w:val="12"/>
              </w:rPr>
            </w:pPr>
          </w:p>
        </w:tc>
        <w:tc>
          <w:tcPr>
            <w:tcW w:w="6660" w:type="dxa"/>
            <w:tcBorders>
              <w:bottom w:val="single" w:sz="8" w:space="0" w:color="auto"/>
              <w:right w:val="single" w:sz="8" w:space="0" w:color="auto"/>
            </w:tcBorders>
            <w:shd w:val="clear" w:color="auto" w:fill="auto"/>
            <w:vAlign w:val="bottom"/>
          </w:tcPr>
          <w:p w14:paraId="77CE267D" w14:textId="77777777" w:rsidR="00E05D9F" w:rsidRDefault="00E05D9F">
            <w:pPr>
              <w:spacing w:line="0" w:lineRule="atLeast"/>
              <w:rPr>
                <w:rFonts w:ascii="Times New Roman" w:eastAsia="Times New Roman" w:hAnsi="Times New Roman"/>
                <w:sz w:val="12"/>
              </w:rPr>
            </w:pPr>
          </w:p>
        </w:tc>
      </w:tr>
      <w:tr w:rsidR="00E05D9F" w14:paraId="2993ACB8" w14:textId="77777777">
        <w:trPr>
          <w:trHeight w:val="280"/>
        </w:trPr>
        <w:tc>
          <w:tcPr>
            <w:tcW w:w="2080" w:type="dxa"/>
            <w:tcBorders>
              <w:left w:val="single" w:sz="8" w:space="0" w:color="auto"/>
              <w:right w:val="single" w:sz="8" w:space="0" w:color="auto"/>
            </w:tcBorders>
            <w:shd w:val="clear" w:color="auto" w:fill="auto"/>
            <w:vAlign w:val="bottom"/>
          </w:tcPr>
          <w:p w14:paraId="454C20C1" w14:textId="77777777" w:rsidR="00E05D9F" w:rsidRDefault="00E05D9F">
            <w:pPr>
              <w:spacing w:line="279" w:lineRule="exact"/>
              <w:ind w:left="340"/>
              <w:rPr>
                <w:sz w:val="27"/>
                <w:vertAlign w:val="subscript"/>
              </w:rPr>
            </w:pPr>
            <w:r>
              <w:rPr>
                <w:sz w:val="23"/>
              </w:rPr>
              <w:t>Z</w:t>
            </w:r>
            <w:r>
              <w:rPr>
                <w:sz w:val="27"/>
                <w:vertAlign w:val="subscript"/>
              </w:rPr>
              <w:t>n</w:t>
            </w:r>
          </w:p>
        </w:tc>
        <w:tc>
          <w:tcPr>
            <w:tcW w:w="6660" w:type="dxa"/>
            <w:tcBorders>
              <w:right w:val="single" w:sz="8" w:space="0" w:color="auto"/>
            </w:tcBorders>
            <w:shd w:val="clear" w:color="auto" w:fill="auto"/>
            <w:vAlign w:val="bottom"/>
          </w:tcPr>
          <w:p w14:paraId="149169C7" w14:textId="77777777" w:rsidR="00E05D9F" w:rsidRDefault="00E05D9F">
            <w:pPr>
              <w:spacing w:line="261" w:lineRule="exact"/>
              <w:ind w:left="300"/>
              <w:rPr>
                <w:sz w:val="23"/>
              </w:rPr>
            </w:pPr>
            <w:r>
              <w:rPr>
                <w:sz w:val="23"/>
              </w:rPr>
              <w:t>podlegająca zwrotowi za rok „n” część finansowania publicznego</w:t>
            </w:r>
          </w:p>
        </w:tc>
      </w:tr>
      <w:tr w:rsidR="00E05D9F" w14:paraId="55989EB8" w14:textId="77777777">
        <w:trPr>
          <w:trHeight w:val="105"/>
        </w:trPr>
        <w:tc>
          <w:tcPr>
            <w:tcW w:w="2080" w:type="dxa"/>
            <w:tcBorders>
              <w:left w:val="single" w:sz="8" w:space="0" w:color="auto"/>
              <w:bottom w:val="single" w:sz="8" w:space="0" w:color="auto"/>
              <w:right w:val="single" w:sz="8" w:space="0" w:color="auto"/>
            </w:tcBorders>
            <w:shd w:val="clear" w:color="auto" w:fill="auto"/>
            <w:vAlign w:val="bottom"/>
          </w:tcPr>
          <w:p w14:paraId="2155D5E1" w14:textId="77777777" w:rsidR="00E05D9F" w:rsidRDefault="00E05D9F">
            <w:pPr>
              <w:spacing w:line="0" w:lineRule="atLeast"/>
              <w:rPr>
                <w:rFonts w:ascii="Times New Roman" w:eastAsia="Times New Roman" w:hAnsi="Times New Roman"/>
                <w:sz w:val="9"/>
              </w:rPr>
            </w:pPr>
          </w:p>
        </w:tc>
        <w:tc>
          <w:tcPr>
            <w:tcW w:w="6660" w:type="dxa"/>
            <w:tcBorders>
              <w:bottom w:val="single" w:sz="8" w:space="0" w:color="auto"/>
              <w:right w:val="single" w:sz="8" w:space="0" w:color="auto"/>
            </w:tcBorders>
            <w:shd w:val="clear" w:color="auto" w:fill="auto"/>
            <w:vAlign w:val="bottom"/>
          </w:tcPr>
          <w:p w14:paraId="74FAD3B4" w14:textId="77777777" w:rsidR="00E05D9F" w:rsidRDefault="00E05D9F">
            <w:pPr>
              <w:spacing w:line="0" w:lineRule="atLeast"/>
              <w:rPr>
                <w:rFonts w:ascii="Times New Roman" w:eastAsia="Times New Roman" w:hAnsi="Times New Roman"/>
                <w:sz w:val="9"/>
              </w:rPr>
            </w:pPr>
          </w:p>
        </w:tc>
      </w:tr>
    </w:tbl>
    <w:p w14:paraId="5B0DDC46" w14:textId="77777777" w:rsidR="00E05D9F" w:rsidRDefault="00E05D9F">
      <w:pPr>
        <w:spacing w:line="200" w:lineRule="exact"/>
        <w:rPr>
          <w:rFonts w:ascii="Times New Roman" w:eastAsia="Times New Roman" w:hAnsi="Times New Roman"/>
        </w:rPr>
      </w:pPr>
    </w:p>
    <w:p w14:paraId="3DC844B1" w14:textId="77777777" w:rsidR="00E05D9F" w:rsidRDefault="00E05D9F">
      <w:pPr>
        <w:spacing w:line="200" w:lineRule="exact"/>
        <w:rPr>
          <w:rFonts w:ascii="Times New Roman" w:eastAsia="Times New Roman" w:hAnsi="Times New Roman"/>
        </w:rPr>
      </w:pPr>
    </w:p>
    <w:p w14:paraId="47001D48" w14:textId="77777777" w:rsidR="00E05D9F" w:rsidRDefault="00E05D9F">
      <w:pPr>
        <w:spacing w:line="200" w:lineRule="exact"/>
        <w:rPr>
          <w:rFonts w:ascii="Times New Roman" w:eastAsia="Times New Roman" w:hAnsi="Times New Roman"/>
        </w:rPr>
      </w:pPr>
    </w:p>
    <w:p w14:paraId="6A702AF8" w14:textId="77777777" w:rsidR="00E05D9F" w:rsidRDefault="00E05D9F">
      <w:pPr>
        <w:spacing w:line="200" w:lineRule="exact"/>
        <w:rPr>
          <w:rFonts w:ascii="Times New Roman" w:eastAsia="Times New Roman" w:hAnsi="Times New Roman"/>
        </w:rPr>
      </w:pPr>
    </w:p>
    <w:p w14:paraId="6C2D67CC" w14:textId="77777777" w:rsidR="00E05D9F" w:rsidRDefault="00E05D9F">
      <w:pPr>
        <w:spacing w:line="200" w:lineRule="exact"/>
        <w:rPr>
          <w:rFonts w:ascii="Times New Roman" w:eastAsia="Times New Roman" w:hAnsi="Times New Roman"/>
        </w:rPr>
      </w:pPr>
    </w:p>
    <w:p w14:paraId="24F3F90B" w14:textId="77777777" w:rsidR="00E05D9F" w:rsidRDefault="00E05D9F">
      <w:pPr>
        <w:spacing w:line="200" w:lineRule="exact"/>
        <w:rPr>
          <w:rFonts w:ascii="Times New Roman" w:eastAsia="Times New Roman" w:hAnsi="Times New Roman"/>
        </w:rPr>
      </w:pPr>
    </w:p>
    <w:p w14:paraId="3EA5DF42" w14:textId="77777777" w:rsidR="00E05D9F" w:rsidRDefault="00E05D9F">
      <w:pPr>
        <w:spacing w:line="200" w:lineRule="exact"/>
        <w:rPr>
          <w:rFonts w:ascii="Times New Roman" w:eastAsia="Times New Roman" w:hAnsi="Times New Roman"/>
        </w:rPr>
      </w:pPr>
    </w:p>
    <w:p w14:paraId="7C72ACA8" w14:textId="77777777" w:rsidR="00E05D9F" w:rsidRDefault="00E05D9F">
      <w:pPr>
        <w:spacing w:line="200" w:lineRule="exact"/>
        <w:rPr>
          <w:rFonts w:ascii="Times New Roman" w:eastAsia="Times New Roman" w:hAnsi="Times New Roman"/>
        </w:rPr>
      </w:pPr>
    </w:p>
    <w:p w14:paraId="5656A663" w14:textId="77777777" w:rsidR="00E05D9F" w:rsidRDefault="00E05D9F">
      <w:pPr>
        <w:spacing w:line="200" w:lineRule="exact"/>
        <w:rPr>
          <w:rFonts w:ascii="Times New Roman" w:eastAsia="Times New Roman" w:hAnsi="Times New Roman"/>
        </w:rPr>
      </w:pPr>
    </w:p>
    <w:p w14:paraId="5539F975" w14:textId="77777777" w:rsidR="00E05D9F" w:rsidRDefault="00E05D9F">
      <w:pPr>
        <w:spacing w:line="200" w:lineRule="exact"/>
        <w:rPr>
          <w:rFonts w:ascii="Times New Roman" w:eastAsia="Times New Roman" w:hAnsi="Times New Roman"/>
        </w:rPr>
      </w:pPr>
    </w:p>
    <w:p w14:paraId="2C23E103" w14:textId="77777777" w:rsidR="00E05D9F" w:rsidRDefault="00E05D9F">
      <w:pPr>
        <w:spacing w:line="200" w:lineRule="exact"/>
        <w:rPr>
          <w:rFonts w:ascii="Times New Roman" w:eastAsia="Times New Roman" w:hAnsi="Times New Roman"/>
        </w:rPr>
      </w:pPr>
    </w:p>
    <w:p w14:paraId="777BEBF4" w14:textId="77777777" w:rsidR="00E05D9F" w:rsidRDefault="00E05D9F">
      <w:pPr>
        <w:spacing w:line="200" w:lineRule="exact"/>
        <w:rPr>
          <w:rFonts w:ascii="Times New Roman" w:eastAsia="Times New Roman" w:hAnsi="Times New Roman"/>
        </w:rPr>
      </w:pPr>
    </w:p>
    <w:p w14:paraId="6817F4DC" w14:textId="77777777" w:rsidR="00E05D9F" w:rsidRDefault="00E05D9F">
      <w:pPr>
        <w:spacing w:line="200" w:lineRule="exact"/>
        <w:rPr>
          <w:rFonts w:ascii="Times New Roman" w:eastAsia="Times New Roman" w:hAnsi="Times New Roman"/>
        </w:rPr>
      </w:pPr>
    </w:p>
    <w:p w14:paraId="7A199A9F" w14:textId="77777777" w:rsidR="00E05D9F" w:rsidRDefault="00E05D9F">
      <w:pPr>
        <w:spacing w:line="200" w:lineRule="exact"/>
        <w:rPr>
          <w:rFonts w:ascii="Times New Roman" w:eastAsia="Times New Roman" w:hAnsi="Times New Roman"/>
        </w:rPr>
      </w:pPr>
    </w:p>
    <w:p w14:paraId="434DCBE2" w14:textId="77777777" w:rsidR="00E05D9F" w:rsidRDefault="00E05D9F">
      <w:pPr>
        <w:spacing w:line="200" w:lineRule="exact"/>
        <w:rPr>
          <w:rFonts w:ascii="Times New Roman" w:eastAsia="Times New Roman" w:hAnsi="Times New Roman"/>
        </w:rPr>
      </w:pPr>
    </w:p>
    <w:p w14:paraId="1A937C57" w14:textId="77777777" w:rsidR="00E05D9F" w:rsidRDefault="00E05D9F">
      <w:pPr>
        <w:spacing w:line="200" w:lineRule="exact"/>
        <w:rPr>
          <w:rFonts w:ascii="Times New Roman" w:eastAsia="Times New Roman" w:hAnsi="Times New Roman"/>
        </w:rPr>
      </w:pPr>
    </w:p>
    <w:p w14:paraId="2715C3EA" w14:textId="77777777" w:rsidR="00E05D9F" w:rsidRDefault="00E05D9F">
      <w:pPr>
        <w:spacing w:line="200" w:lineRule="exact"/>
        <w:rPr>
          <w:rFonts w:ascii="Times New Roman" w:eastAsia="Times New Roman" w:hAnsi="Times New Roman"/>
        </w:rPr>
      </w:pPr>
    </w:p>
    <w:p w14:paraId="0909A53A" w14:textId="77777777" w:rsidR="00E05D9F" w:rsidRDefault="00E05D9F">
      <w:pPr>
        <w:spacing w:line="200" w:lineRule="exact"/>
        <w:rPr>
          <w:rFonts w:ascii="Times New Roman" w:eastAsia="Times New Roman" w:hAnsi="Times New Roman"/>
        </w:rPr>
      </w:pPr>
    </w:p>
    <w:p w14:paraId="521464E8" w14:textId="77777777" w:rsidR="00E05D9F" w:rsidRDefault="00E05D9F">
      <w:pPr>
        <w:spacing w:line="200" w:lineRule="exact"/>
        <w:rPr>
          <w:rFonts w:ascii="Times New Roman" w:eastAsia="Times New Roman" w:hAnsi="Times New Roman"/>
        </w:rPr>
      </w:pPr>
    </w:p>
    <w:p w14:paraId="736FF304" w14:textId="77777777" w:rsidR="00E05D9F" w:rsidRDefault="00E05D9F">
      <w:pPr>
        <w:spacing w:line="200" w:lineRule="exact"/>
        <w:rPr>
          <w:rFonts w:ascii="Times New Roman" w:eastAsia="Times New Roman" w:hAnsi="Times New Roman"/>
        </w:rPr>
      </w:pPr>
    </w:p>
    <w:p w14:paraId="28CADF62" w14:textId="77777777" w:rsidR="00E05D9F" w:rsidRDefault="00E05D9F">
      <w:pPr>
        <w:spacing w:line="200" w:lineRule="exact"/>
        <w:rPr>
          <w:rFonts w:ascii="Times New Roman" w:eastAsia="Times New Roman" w:hAnsi="Times New Roman"/>
        </w:rPr>
      </w:pPr>
    </w:p>
    <w:p w14:paraId="09E8810E" w14:textId="77777777" w:rsidR="00E05D9F" w:rsidRDefault="00E05D9F">
      <w:pPr>
        <w:spacing w:line="200" w:lineRule="exact"/>
        <w:rPr>
          <w:rFonts w:ascii="Times New Roman" w:eastAsia="Times New Roman" w:hAnsi="Times New Roman"/>
        </w:rPr>
      </w:pPr>
    </w:p>
    <w:p w14:paraId="37ABB062" w14:textId="77777777" w:rsidR="00E05D9F" w:rsidRDefault="00E05D9F">
      <w:pPr>
        <w:spacing w:line="200" w:lineRule="exact"/>
        <w:rPr>
          <w:rFonts w:ascii="Times New Roman" w:eastAsia="Times New Roman" w:hAnsi="Times New Roman"/>
        </w:rPr>
      </w:pPr>
    </w:p>
    <w:p w14:paraId="509A5F37" w14:textId="77777777" w:rsidR="00E05D9F" w:rsidRDefault="00E05D9F">
      <w:pPr>
        <w:spacing w:line="200" w:lineRule="exact"/>
        <w:rPr>
          <w:rFonts w:ascii="Times New Roman" w:eastAsia="Times New Roman" w:hAnsi="Times New Roman"/>
        </w:rPr>
      </w:pPr>
    </w:p>
    <w:p w14:paraId="4D43A2FC" w14:textId="77777777" w:rsidR="00E05D9F" w:rsidRDefault="00E05D9F">
      <w:pPr>
        <w:spacing w:line="200" w:lineRule="exact"/>
        <w:rPr>
          <w:rFonts w:ascii="Times New Roman" w:eastAsia="Times New Roman" w:hAnsi="Times New Roman"/>
        </w:rPr>
      </w:pPr>
    </w:p>
    <w:p w14:paraId="36D08DDE" w14:textId="77777777" w:rsidR="00E05D9F" w:rsidRDefault="00E05D9F">
      <w:pPr>
        <w:spacing w:line="200" w:lineRule="exact"/>
        <w:rPr>
          <w:rFonts w:ascii="Times New Roman" w:eastAsia="Times New Roman" w:hAnsi="Times New Roman"/>
        </w:rPr>
      </w:pPr>
    </w:p>
    <w:p w14:paraId="79DF3BD6" w14:textId="77777777" w:rsidR="00E05D9F" w:rsidRDefault="00E05D9F">
      <w:pPr>
        <w:spacing w:line="200" w:lineRule="exact"/>
        <w:rPr>
          <w:rFonts w:ascii="Times New Roman" w:eastAsia="Times New Roman" w:hAnsi="Times New Roman"/>
        </w:rPr>
      </w:pPr>
    </w:p>
    <w:p w14:paraId="040777CF" w14:textId="77777777" w:rsidR="00E05D9F" w:rsidRDefault="00E05D9F">
      <w:pPr>
        <w:spacing w:line="200" w:lineRule="exact"/>
        <w:rPr>
          <w:rFonts w:ascii="Times New Roman" w:eastAsia="Times New Roman" w:hAnsi="Times New Roman"/>
        </w:rPr>
      </w:pPr>
    </w:p>
    <w:p w14:paraId="2D8BE571" w14:textId="77777777" w:rsidR="00E05D9F" w:rsidRDefault="00E05D9F">
      <w:pPr>
        <w:spacing w:line="200" w:lineRule="exact"/>
        <w:rPr>
          <w:rFonts w:ascii="Times New Roman" w:eastAsia="Times New Roman" w:hAnsi="Times New Roman"/>
        </w:rPr>
      </w:pPr>
    </w:p>
    <w:p w14:paraId="6AEDDE17" w14:textId="77777777" w:rsidR="00E05D9F" w:rsidRDefault="00E05D9F">
      <w:pPr>
        <w:spacing w:line="200" w:lineRule="exact"/>
        <w:rPr>
          <w:rFonts w:ascii="Times New Roman" w:eastAsia="Times New Roman" w:hAnsi="Times New Roman"/>
        </w:rPr>
      </w:pPr>
    </w:p>
    <w:p w14:paraId="426E017B" w14:textId="77777777" w:rsidR="00E05D9F" w:rsidRDefault="00E05D9F">
      <w:pPr>
        <w:spacing w:line="200" w:lineRule="exact"/>
        <w:rPr>
          <w:rFonts w:ascii="Times New Roman" w:eastAsia="Times New Roman" w:hAnsi="Times New Roman"/>
        </w:rPr>
      </w:pPr>
    </w:p>
    <w:p w14:paraId="113B9F88" w14:textId="77777777" w:rsidR="00E05D9F" w:rsidRDefault="00E05D9F">
      <w:pPr>
        <w:spacing w:line="200" w:lineRule="exact"/>
        <w:rPr>
          <w:rFonts w:ascii="Times New Roman" w:eastAsia="Times New Roman" w:hAnsi="Times New Roman"/>
        </w:rPr>
      </w:pPr>
    </w:p>
    <w:p w14:paraId="3763E1B3" w14:textId="77777777" w:rsidR="00E05D9F" w:rsidRDefault="00E05D9F">
      <w:pPr>
        <w:spacing w:line="265" w:lineRule="exact"/>
        <w:rPr>
          <w:rFonts w:ascii="Times New Roman" w:eastAsia="Times New Roman" w:hAnsi="Times New Roman"/>
        </w:rPr>
      </w:pPr>
    </w:p>
    <w:p w14:paraId="0DD659D6" w14:textId="77777777" w:rsidR="00E05D9F" w:rsidRDefault="00E05D9F">
      <w:pPr>
        <w:spacing w:line="0" w:lineRule="atLeast"/>
        <w:jc w:val="right"/>
      </w:pPr>
      <w:r>
        <w:t>24</w:t>
      </w:r>
    </w:p>
    <w:p w14:paraId="734116FE" w14:textId="77777777" w:rsidR="00E05D9F" w:rsidRDefault="00E05D9F">
      <w:pPr>
        <w:spacing w:line="0" w:lineRule="atLeast"/>
        <w:jc w:val="right"/>
        <w:sectPr w:rsidR="00E05D9F" w:rsidSect="00F716F9">
          <w:pgSz w:w="11920" w:h="16845"/>
          <w:pgMar w:top="1391" w:right="1410" w:bottom="1440" w:left="1440" w:header="0" w:footer="68" w:gutter="0"/>
          <w:cols w:space="0" w:equalWidth="0">
            <w:col w:w="9060"/>
          </w:cols>
          <w:docGrid w:linePitch="360"/>
        </w:sectPr>
      </w:pPr>
    </w:p>
    <w:p w14:paraId="231C0D94" w14:textId="77777777" w:rsidR="00E05D9F" w:rsidRDefault="00E05D9F">
      <w:pPr>
        <w:spacing w:line="0" w:lineRule="atLeast"/>
        <w:ind w:left="8"/>
        <w:rPr>
          <w:rFonts w:ascii="Calibri Light" w:eastAsia="Calibri Light" w:hAnsi="Calibri Light"/>
          <w:b/>
          <w:color w:val="2F5496"/>
          <w:sz w:val="23"/>
        </w:rPr>
      </w:pPr>
      <w:bookmarkStart w:id="24" w:name="page25"/>
      <w:bookmarkEnd w:id="24"/>
      <w:r>
        <w:rPr>
          <w:rFonts w:ascii="Calibri Light" w:eastAsia="Calibri Light" w:hAnsi="Calibri Light"/>
          <w:b/>
          <w:color w:val="2F5496"/>
          <w:sz w:val="23"/>
        </w:rPr>
        <w:lastRenderedPageBreak/>
        <w:t>Indeks</w:t>
      </w:r>
    </w:p>
    <w:p w14:paraId="0641B19F" w14:textId="77777777" w:rsidR="00E05D9F" w:rsidRDefault="00E05D9F">
      <w:pPr>
        <w:spacing w:line="200" w:lineRule="exact"/>
        <w:rPr>
          <w:rFonts w:ascii="Times New Roman" w:eastAsia="Times New Roman" w:hAnsi="Times New Roman"/>
        </w:rPr>
      </w:pPr>
    </w:p>
    <w:p w14:paraId="2147E5D9" w14:textId="77777777" w:rsidR="00E05D9F" w:rsidRDefault="00E05D9F">
      <w:pPr>
        <w:spacing w:line="330" w:lineRule="exact"/>
        <w:rPr>
          <w:rFonts w:ascii="Times New Roman" w:eastAsia="Times New Roman" w:hAnsi="Times New Roman"/>
        </w:rPr>
      </w:pPr>
    </w:p>
    <w:p w14:paraId="5E497B70" w14:textId="77777777" w:rsidR="00E05D9F" w:rsidRDefault="00E05D9F">
      <w:pPr>
        <w:tabs>
          <w:tab w:val="left" w:pos="548"/>
          <w:tab w:val="left" w:leader="dot" w:pos="8948"/>
        </w:tabs>
        <w:spacing w:line="0" w:lineRule="atLeast"/>
        <w:ind w:left="8"/>
        <w:rPr>
          <w:sz w:val="23"/>
        </w:rPr>
      </w:pPr>
      <w:r>
        <w:rPr>
          <w:sz w:val="23"/>
        </w:rPr>
        <w:t>I.</w:t>
      </w:r>
      <w:r>
        <w:rPr>
          <w:rFonts w:ascii="Times New Roman" w:eastAsia="Times New Roman" w:hAnsi="Times New Roman"/>
        </w:rPr>
        <w:tab/>
      </w:r>
      <w:hyperlink w:anchor="page1" w:history="1">
        <w:r>
          <w:rPr>
            <w:sz w:val="23"/>
          </w:rPr>
          <w:t>Informacje ogólne</w:t>
        </w:r>
      </w:hyperlink>
      <w:r>
        <w:rPr>
          <w:sz w:val="23"/>
        </w:rPr>
        <w:tab/>
      </w:r>
      <w:hyperlink w:anchor="page1" w:history="1">
        <w:r>
          <w:rPr>
            <w:sz w:val="23"/>
          </w:rPr>
          <w:t>1</w:t>
        </w:r>
      </w:hyperlink>
    </w:p>
    <w:p w14:paraId="44116E13" w14:textId="77777777" w:rsidR="00E05D9F" w:rsidRDefault="00E05D9F">
      <w:pPr>
        <w:spacing w:line="110" w:lineRule="exact"/>
        <w:rPr>
          <w:rFonts w:ascii="Times New Roman" w:eastAsia="Times New Roman" w:hAnsi="Times New Roman"/>
        </w:rPr>
      </w:pPr>
    </w:p>
    <w:p w14:paraId="6BB8A870" w14:textId="77777777" w:rsidR="00E05D9F" w:rsidRDefault="00E05D9F">
      <w:pPr>
        <w:tabs>
          <w:tab w:val="left" w:pos="548"/>
          <w:tab w:val="left" w:leader="dot" w:pos="8948"/>
        </w:tabs>
        <w:spacing w:line="0" w:lineRule="atLeast"/>
        <w:ind w:left="8"/>
        <w:rPr>
          <w:sz w:val="23"/>
        </w:rPr>
      </w:pPr>
      <w:r>
        <w:rPr>
          <w:sz w:val="23"/>
        </w:rPr>
        <w:t>II.</w:t>
      </w:r>
      <w:r>
        <w:rPr>
          <w:rFonts w:ascii="Times New Roman" w:eastAsia="Times New Roman" w:hAnsi="Times New Roman"/>
        </w:rPr>
        <w:tab/>
      </w:r>
      <w:hyperlink w:anchor="page3" w:history="1">
        <w:r>
          <w:rPr>
            <w:sz w:val="23"/>
          </w:rPr>
          <w:t>Ogólne zasady stosowania mechanizmu monitorowania i wycofania</w:t>
        </w:r>
      </w:hyperlink>
      <w:r>
        <w:rPr>
          <w:sz w:val="23"/>
        </w:rPr>
        <w:tab/>
      </w:r>
      <w:hyperlink w:anchor="page3" w:history="1">
        <w:r>
          <w:rPr>
            <w:sz w:val="23"/>
          </w:rPr>
          <w:t>3</w:t>
        </w:r>
      </w:hyperlink>
    </w:p>
    <w:p w14:paraId="2622D337" w14:textId="77777777" w:rsidR="00E05D9F" w:rsidRDefault="00E05D9F">
      <w:pPr>
        <w:spacing w:line="134" w:lineRule="exact"/>
        <w:rPr>
          <w:rFonts w:ascii="Times New Roman" w:eastAsia="Times New Roman" w:hAnsi="Times New Roman"/>
        </w:rPr>
      </w:pPr>
    </w:p>
    <w:p w14:paraId="210DA8A5" w14:textId="77777777" w:rsidR="00E05D9F" w:rsidRDefault="00000000" w:rsidP="00FE1021">
      <w:pPr>
        <w:numPr>
          <w:ilvl w:val="0"/>
          <w:numId w:val="55"/>
        </w:numPr>
        <w:tabs>
          <w:tab w:val="left" w:pos="568"/>
        </w:tabs>
        <w:spacing w:line="0" w:lineRule="atLeast"/>
        <w:ind w:left="568" w:hanging="568"/>
        <w:rPr>
          <w:sz w:val="21"/>
        </w:rPr>
      </w:pPr>
      <w:hyperlink w:anchor="page7" w:history="1">
        <w:r w:rsidR="00E05D9F">
          <w:rPr>
            <w:sz w:val="21"/>
          </w:rPr>
          <w:t>Sposób sprawozdawania o zakresie działalności gospodarczej prowadzonej przez beneficjenta</w:t>
        </w:r>
      </w:hyperlink>
    </w:p>
    <w:p w14:paraId="240B763E" w14:textId="77777777" w:rsidR="00E05D9F" w:rsidRDefault="00E05D9F">
      <w:pPr>
        <w:spacing w:line="4" w:lineRule="exact"/>
        <w:rPr>
          <w:rFonts w:ascii="Times New Roman" w:eastAsia="Times New Roman" w:hAnsi="Times New Roman"/>
        </w:rPr>
      </w:pPr>
    </w:p>
    <w:p w14:paraId="66C3FA1E" w14:textId="77777777" w:rsidR="00E05D9F" w:rsidRDefault="00000000">
      <w:pPr>
        <w:tabs>
          <w:tab w:val="left" w:leader="dot" w:pos="8948"/>
        </w:tabs>
        <w:spacing w:line="0" w:lineRule="atLeast"/>
        <w:ind w:left="568"/>
        <w:rPr>
          <w:sz w:val="23"/>
        </w:rPr>
      </w:pPr>
      <w:hyperlink w:anchor="page7" w:history="1">
        <w:r w:rsidR="00E05D9F">
          <w:rPr>
            <w:sz w:val="23"/>
          </w:rPr>
          <w:t>na infrastrukturze</w:t>
        </w:r>
      </w:hyperlink>
      <w:r w:rsidR="00E05D9F">
        <w:rPr>
          <w:sz w:val="23"/>
        </w:rPr>
        <w:tab/>
      </w:r>
      <w:hyperlink w:anchor="page7" w:history="1">
        <w:r w:rsidR="00E05D9F">
          <w:rPr>
            <w:sz w:val="23"/>
          </w:rPr>
          <w:t>7</w:t>
        </w:r>
      </w:hyperlink>
    </w:p>
    <w:p w14:paraId="075F49B0" w14:textId="77777777" w:rsidR="00E05D9F" w:rsidRDefault="00E05D9F">
      <w:pPr>
        <w:spacing w:line="110" w:lineRule="exact"/>
        <w:rPr>
          <w:rFonts w:ascii="Times New Roman" w:eastAsia="Times New Roman" w:hAnsi="Times New Roman"/>
        </w:rPr>
      </w:pPr>
    </w:p>
    <w:p w14:paraId="6D9A90EB" w14:textId="77777777" w:rsidR="00E05D9F" w:rsidRDefault="00E05D9F">
      <w:pPr>
        <w:tabs>
          <w:tab w:val="left" w:pos="548"/>
        </w:tabs>
        <w:spacing w:line="0" w:lineRule="atLeast"/>
        <w:ind w:left="8"/>
        <w:rPr>
          <w:sz w:val="21"/>
        </w:rPr>
      </w:pPr>
      <w:r>
        <w:rPr>
          <w:sz w:val="23"/>
        </w:rPr>
        <w:t>IV.</w:t>
      </w:r>
      <w:r>
        <w:rPr>
          <w:rFonts w:ascii="Times New Roman" w:eastAsia="Times New Roman" w:hAnsi="Times New Roman"/>
        </w:rPr>
        <w:tab/>
      </w:r>
      <w:hyperlink w:anchor="page7" w:history="1">
        <w:r>
          <w:rPr>
            <w:sz w:val="21"/>
          </w:rPr>
          <w:t>Zasady stosowania mechanizmu monitorowania i wycofania w przypadku, gdy umowa</w:t>
        </w:r>
      </w:hyperlink>
    </w:p>
    <w:p w14:paraId="5DB6791C" w14:textId="77777777" w:rsidR="00E05D9F" w:rsidRDefault="00E05D9F">
      <w:pPr>
        <w:spacing w:line="60" w:lineRule="exact"/>
        <w:rPr>
          <w:rFonts w:ascii="Times New Roman" w:eastAsia="Times New Roman" w:hAnsi="Times New Roman"/>
        </w:rPr>
      </w:pPr>
    </w:p>
    <w:p w14:paraId="3C511D2F" w14:textId="77777777" w:rsidR="00E05D9F" w:rsidRDefault="00000000" w:rsidP="00FE1021">
      <w:pPr>
        <w:numPr>
          <w:ilvl w:val="0"/>
          <w:numId w:val="56"/>
        </w:numPr>
        <w:tabs>
          <w:tab w:val="left" w:pos="733"/>
        </w:tabs>
        <w:spacing w:line="261" w:lineRule="auto"/>
        <w:ind w:left="568" w:firstLine="3"/>
        <w:rPr>
          <w:sz w:val="21"/>
        </w:rPr>
      </w:pPr>
      <w:hyperlink w:anchor="page7" w:history="1">
        <w:r w:rsidR="00E05D9F">
          <w:rPr>
            <w:sz w:val="21"/>
          </w:rPr>
          <w:t>dofinansowanie przewiduje wyłącznie niegospodarcze wykorzystanie dofinansowanej</w:t>
        </w:r>
      </w:hyperlink>
      <w:r w:rsidR="00E05D9F">
        <w:rPr>
          <w:sz w:val="21"/>
        </w:rPr>
        <w:t xml:space="preserve"> </w:t>
      </w:r>
      <w:hyperlink w:anchor="page7" w:history="1">
        <w:r w:rsidR="00E05D9F">
          <w:rPr>
            <w:sz w:val="21"/>
          </w:rPr>
          <w:t>infrastruktury (dofinansowanie projektu nie stanowi pomocy publicznej) (dotyczy wyłącznie</w:t>
        </w:r>
      </w:hyperlink>
      <w:r w:rsidR="00E05D9F">
        <w:rPr>
          <w:sz w:val="21"/>
        </w:rPr>
        <w:t xml:space="preserve"> </w:t>
      </w:r>
      <w:hyperlink w:anchor="page7" w:history="1">
        <w:r w:rsidR="00E05D9F">
          <w:rPr>
            <w:sz w:val="21"/>
          </w:rPr>
          <w:t>projektów zrealizowanych w okresie 2007-2013, dla których aneksowano umowę dopuszczając</w:t>
        </w:r>
      </w:hyperlink>
      <w:r w:rsidR="00E05D9F">
        <w:rPr>
          <w:sz w:val="21"/>
        </w:rPr>
        <w:t xml:space="preserve"> </w:t>
      </w:r>
      <w:hyperlink w:anchor="page7" w:history="1">
        <w:r w:rsidR="00E05D9F">
          <w:rPr>
            <w:sz w:val="21"/>
          </w:rPr>
          <w:t>możliwość wykorzystania powstałej infrastruktury do działalności gospodarczej w wymiarze</w:t>
        </w:r>
      </w:hyperlink>
    </w:p>
    <w:p w14:paraId="0ED97123" w14:textId="77777777" w:rsidR="00E05D9F" w:rsidRDefault="00000000">
      <w:pPr>
        <w:tabs>
          <w:tab w:val="left" w:leader="dot" w:pos="8948"/>
        </w:tabs>
        <w:spacing w:line="0" w:lineRule="atLeast"/>
        <w:ind w:left="568"/>
        <w:rPr>
          <w:sz w:val="23"/>
        </w:rPr>
      </w:pPr>
      <w:hyperlink w:anchor="page7" w:history="1">
        <w:r w:rsidR="00E05D9F">
          <w:rPr>
            <w:sz w:val="23"/>
          </w:rPr>
          <w:t>pomocniczym)</w:t>
        </w:r>
      </w:hyperlink>
      <w:r w:rsidR="00E05D9F">
        <w:rPr>
          <w:sz w:val="23"/>
        </w:rPr>
        <w:tab/>
      </w:r>
      <w:hyperlink w:anchor="page7" w:history="1">
        <w:r w:rsidR="00E05D9F">
          <w:rPr>
            <w:sz w:val="23"/>
          </w:rPr>
          <w:t>7</w:t>
        </w:r>
      </w:hyperlink>
    </w:p>
    <w:p w14:paraId="46D6161E" w14:textId="77777777" w:rsidR="00E05D9F" w:rsidRDefault="00E05D9F">
      <w:pPr>
        <w:spacing w:line="109" w:lineRule="exact"/>
        <w:rPr>
          <w:rFonts w:ascii="Times New Roman" w:eastAsia="Times New Roman" w:hAnsi="Times New Roman"/>
        </w:rPr>
      </w:pPr>
    </w:p>
    <w:p w14:paraId="1E1B64E7" w14:textId="77777777" w:rsidR="00E05D9F" w:rsidRDefault="00000000" w:rsidP="00FE1021">
      <w:pPr>
        <w:numPr>
          <w:ilvl w:val="0"/>
          <w:numId w:val="57"/>
        </w:numPr>
        <w:tabs>
          <w:tab w:val="left" w:pos="568"/>
        </w:tabs>
        <w:spacing w:line="0" w:lineRule="atLeast"/>
        <w:ind w:left="568" w:hanging="568"/>
        <w:rPr>
          <w:sz w:val="23"/>
        </w:rPr>
      </w:pPr>
      <w:hyperlink w:anchor="page11" w:history="1">
        <w:r w:rsidR="00E05D9F">
          <w:rPr>
            <w:sz w:val="23"/>
          </w:rPr>
          <w:t>Zasady stosowania mechanizmu monitorowania i wycofania w przypadku, gdy umowa</w:t>
        </w:r>
      </w:hyperlink>
    </w:p>
    <w:p w14:paraId="1BFAA9E4" w14:textId="77777777" w:rsidR="00E05D9F" w:rsidRDefault="00E05D9F">
      <w:pPr>
        <w:spacing w:line="5" w:lineRule="exact"/>
        <w:rPr>
          <w:rFonts w:ascii="Times New Roman" w:eastAsia="Times New Roman" w:hAnsi="Times New Roman"/>
        </w:rPr>
      </w:pPr>
    </w:p>
    <w:p w14:paraId="7A545D9A" w14:textId="77777777" w:rsidR="00E05D9F" w:rsidRDefault="00000000">
      <w:pPr>
        <w:spacing w:line="0" w:lineRule="atLeast"/>
        <w:ind w:left="568"/>
        <w:rPr>
          <w:sz w:val="23"/>
        </w:rPr>
      </w:pPr>
      <w:hyperlink w:anchor="page11" w:history="1">
        <w:r w:rsidR="00E05D9F">
          <w:rPr>
            <w:sz w:val="23"/>
          </w:rPr>
          <w:t>o dofinansowanie przewiduje zarówno gospodarcze, jak i niegospodarcze wykorzystanie</w:t>
        </w:r>
      </w:hyperlink>
    </w:p>
    <w:p w14:paraId="1197CB9E" w14:textId="77777777" w:rsidR="00E05D9F" w:rsidRDefault="00E05D9F">
      <w:pPr>
        <w:spacing w:line="4" w:lineRule="exact"/>
        <w:rPr>
          <w:rFonts w:ascii="Times New Roman" w:eastAsia="Times New Roman" w:hAnsi="Times New Roman"/>
        </w:rPr>
      </w:pPr>
    </w:p>
    <w:p w14:paraId="076B2AD1" w14:textId="77777777" w:rsidR="00E05D9F" w:rsidRDefault="00000000">
      <w:pPr>
        <w:tabs>
          <w:tab w:val="left" w:leader="dot" w:pos="8848"/>
        </w:tabs>
        <w:spacing w:line="0" w:lineRule="atLeast"/>
        <w:ind w:left="568"/>
      </w:pPr>
      <w:hyperlink w:anchor="page11" w:history="1">
        <w:r w:rsidR="00E05D9F">
          <w:rPr>
            <w:sz w:val="23"/>
          </w:rPr>
          <w:t>dofinansowanej infrastruktury</w:t>
        </w:r>
      </w:hyperlink>
      <w:r w:rsidR="00E05D9F">
        <w:rPr>
          <w:sz w:val="23"/>
        </w:rPr>
        <w:tab/>
      </w:r>
      <w:hyperlink w:anchor="page11" w:history="1">
        <w:r w:rsidR="00E05D9F">
          <w:t>11</w:t>
        </w:r>
      </w:hyperlink>
    </w:p>
    <w:p w14:paraId="3556532B" w14:textId="77777777" w:rsidR="00E05D9F" w:rsidRDefault="00E05D9F">
      <w:pPr>
        <w:spacing w:line="110" w:lineRule="exact"/>
        <w:rPr>
          <w:rFonts w:ascii="Times New Roman" w:eastAsia="Times New Roman" w:hAnsi="Times New Roman"/>
        </w:rPr>
      </w:pPr>
    </w:p>
    <w:p w14:paraId="4BC157C9" w14:textId="77777777" w:rsidR="00E05D9F" w:rsidRDefault="00E05D9F">
      <w:pPr>
        <w:tabs>
          <w:tab w:val="left" w:pos="548"/>
        </w:tabs>
        <w:spacing w:line="0" w:lineRule="atLeast"/>
        <w:ind w:left="8"/>
        <w:rPr>
          <w:sz w:val="21"/>
        </w:rPr>
      </w:pPr>
      <w:r>
        <w:rPr>
          <w:sz w:val="23"/>
        </w:rPr>
        <w:t>VI.</w:t>
      </w:r>
      <w:r>
        <w:rPr>
          <w:rFonts w:ascii="Times New Roman" w:eastAsia="Times New Roman" w:hAnsi="Times New Roman"/>
        </w:rPr>
        <w:tab/>
      </w:r>
      <w:hyperlink w:anchor="page14" w:history="1">
        <w:r>
          <w:rPr>
            <w:sz w:val="21"/>
          </w:rPr>
          <w:t>Zasady stosowania mechanizmu monitorowania i wycofania w przypadku częściowej</w:t>
        </w:r>
      </w:hyperlink>
    </w:p>
    <w:p w14:paraId="53519894" w14:textId="77777777" w:rsidR="00E05D9F" w:rsidRDefault="00E05D9F">
      <w:pPr>
        <w:spacing w:line="20" w:lineRule="exact"/>
        <w:rPr>
          <w:rFonts w:ascii="Times New Roman" w:eastAsia="Times New Roman" w:hAnsi="Times New Roman"/>
        </w:rPr>
      </w:pPr>
    </w:p>
    <w:p w14:paraId="7C574871" w14:textId="77777777" w:rsidR="00E05D9F" w:rsidRDefault="00000000">
      <w:pPr>
        <w:tabs>
          <w:tab w:val="left" w:leader="dot" w:pos="8848"/>
        </w:tabs>
        <w:spacing w:line="0" w:lineRule="atLeast"/>
        <w:ind w:left="568"/>
      </w:pPr>
      <w:hyperlink w:anchor="page14" w:history="1">
        <w:r w:rsidR="00E05D9F">
          <w:rPr>
            <w:sz w:val="23"/>
          </w:rPr>
          <w:t>kwalifikowalności VAT</w:t>
        </w:r>
      </w:hyperlink>
      <w:r w:rsidR="00E05D9F">
        <w:rPr>
          <w:sz w:val="23"/>
        </w:rPr>
        <w:tab/>
      </w:r>
      <w:hyperlink w:anchor="page14" w:history="1">
        <w:r w:rsidR="00E05D9F">
          <w:t>14</w:t>
        </w:r>
      </w:hyperlink>
    </w:p>
    <w:p w14:paraId="3B831FB8" w14:textId="77777777" w:rsidR="00E05D9F" w:rsidRDefault="00E05D9F">
      <w:pPr>
        <w:spacing w:line="109" w:lineRule="exact"/>
        <w:rPr>
          <w:rFonts w:ascii="Times New Roman" w:eastAsia="Times New Roman" w:hAnsi="Times New Roman"/>
        </w:rPr>
      </w:pPr>
    </w:p>
    <w:p w14:paraId="3064BBAC" w14:textId="77777777" w:rsidR="00E05D9F" w:rsidRDefault="00E05D9F">
      <w:pPr>
        <w:tabs>
          <w:tab w:val="left" w:pos="548"/>
          <w:tab w:val="left" w:leader="dot" w:pos="8848"/>
        </w:tabs>
        <w:spacing w:line="0" w:lineRule="atLeast"/>
        <w:ind w:left="8"/>
      </w:pPr>
      <w:r>
        <w:rPr>
          <w:sz w:val="23"/>
        </w:rPr>
        <w:t>VII.</w:t>
      </w:r>
      <w:r>
        <w:rPr>
          <w:sz w:val="23"/>
        </w:rPr>
        <w:tab/>
      </w:r>
      <w:hyperlink w:anchor="page20" w:history="1">
        <w:r>
          <w:rPr>
            <w:sz w:val="23"/>
          </w:rPr>
          <w:t>Legalizacja pomocy publicznej</w:t>
        </w:r>
      </w:hyperlink>
      <w:r>
        <w:rPr>
          <w:sz w:val="23"/>
        </w:rPr>
        <w:tab/>
      </w:r>
      <w:hyperlink w:anchor="page20" w:history="1">
        <w:r>
          <w:t>20</w:t>
        </w:r>
      </w:hyperlink>
    </w:p>
    <w:p w14:paraId="2380898E" w14:textId="77777777" w:rsidR="00E05D9F" w:rsidRDefault="00E05D9F">
      <w:pPr>
        <w:spacing w:line="110" w:lineRule="exact"/>
        <w:rPr>
          <w:rFonts w:ascii="Times New Roman" w:eastAsia="Times New Roman" w:hAnsi="Times New Roman"/>
        </w:rPr>
      </w:pPr>
    </w:p>
    <w:p w14:paraId="1529DEC9" w14:textId="77777777" w:rsidR="00E05D9F" w:rsidRDefault="00E05D9F">
      <w:pPr>
        <w:tabs>
          <w:tab w:val="left" w:pos="548"/>
          <w:tab w:val="left" w:leader="dot" w:pos="8848"/>
        </w:tabs>
        <w:spacing w:line="0" w:lineRule="atLeast"/>
        <w:ind w:left="8"/>
      </w:pPr>
      <w:r>
        <w:rPr>
          <w:sz w:val="23"/>
        </w:rPr>
        <w:t>VIII.</w:t>
      </w:r>
      <w:r>
        <w:rPr>
          <w:rFonts w:ascii="Times New Roman" w:eastAsia="Times New Roman" w:hAnsi="Times New Roman"/>
        </w:rPr>
        <w:tab/>
      </w:r>
      <w:hyperlink w:anchor="page21" w:history="1">
        <w:r>
          <w:rPr>
            <w:sz w:val="23"/>
          </w:rPr>
          <w:t>Inne kwestie, niewynikające z zasad pomocy publicznej</w:t>
        </w:r>
      </w:hyperlink>
      <w:r>
        <w:rPr>
          <w:sz w:val="23"/>
        </w:rPr>
        <w:tab/>
      </w:r>
      <w:hyperlink w:anchor="page21" w:history="1">
        <w:r>
          <w:t>21</w:t>
        </w:r>
      </w:hyperlink>
    </w:p>
    <w:p w14:paraId="02548277" w14:textId="77777777" w:rsidR="00E05D9F" w:rsidRDefault="00E05D9F">
      <w:pPr>
        <w:spacing w:line="110" w:lineRule="exact"/>
        <w:rPr>
          <w:rFonts w:ascii="Times New Roman" w:eastAsia="Times New Roman" w:hAnsi="Times New Roman"/>
        </w:rPr>
      </w:pPr>
    </w:p>
    <w:p w14:paraId="7F1DC09B" w14:textId="77777777" w:rsidR="00E05D9F" w:rsidRDefault="00000000">
      <w:pPr>
        <w:tabs>
          <w:tab w:val="left" w:leader="dot" w:pos="8848"/>
        </w:tabs>
        <w:spacing w:line="0" w:lineRule="atLeast"/>
        <w:ind w:left="8"/>
      </w:pPr>
      <w:hyperlink w:anchor="page23" w:history="1">
        <w:r w:rsidR="00E05D9F">
          <w:rPr>
            <w:sz w:val="23"/>
          </w:rPr>
          <w:t>Wykaz zastosowanych oznaczeń</w:t>
        </w:r>
      </w:hyperlink>
      <w:r w:rsidR="00E05D9F">
        <w:rPr>
          <w:sz w:val="23"/>
        </w:rPr>
        <w:tab/>
      </w:r>
      <w:hyperlink w:anchor="page23" w:history="1">
        <w:r w:rsidR="00E05D9F">
          <w:t>23</w:t>
        </w:r>
      </w:hyperlink>
    </w:p>
    <w:p w14:paraId="3372EF0D" w14:textId="77777777" w:rsidR="00E05D9F" w:rsidRDefault="00E05D9F">
      <w:pPr>
        <w:spacing w:line="200" w:lineRule="exact"/>
        <w:rPr>
          <w:rFonts w:ascii="Times New Roman" w:eastAsia="Times New Roman" w:hAnsi="Times New Roman"/>
        </w:rPr>
      </w:pPr>
    </w:p>
    <w:p w14:paraId="5B499020" w14:textId="77777777" w:rsidR="00E05D9F" w:rsidRDefault="00E05D9F">
      <w:pPr>
        <w:spacing w:line="200" w:lineRule="exact"/>
        <w:rPr>
          <w:rFonts w:ascii="Times New Roman" w:eastAsia="Times New Roman" w:hAnsi="Times New Roman"/>
        </w:rPr>
      </w:pPr>
    </w:p>
    <w:p w14:paraId="302B03A0" w14:textId="77777777" w:rsidR="00E05D9F" w:rsidRDefault="00E05D9F">
      <w:pPr>
        <w:spacing w:line="200" w:lineRule="exact"/>
        <w:rPr>
          <w:rFonts w:ascii="Times New Roman" w:eastAsia="Times New Roman" w:hAnsi="Times New Roman"/>
        </w:rPr>
      </w:pPr>
    </w:p>
    <w:p w14:paraId="7D36EF75" w14:textId="77777777" w:rsidR="00E05D9F" w:rsidRDefault="00E05D9F">
      <w:pPr>
        <w:spacing w:line="200" w:lineRule="exact"/>
        <w:rPr>
          <w:rFonts w:ascii="Times New Roman" w:eastAsia="Times New Roman" w:hAnsi="Times New Roman"/>
        </w:rPr>
      </w:pPr>
    </w:p>
    <w:p w14:paraId="3F8D4FA5" w14:textId="77777777" w:rsidR="00E05D9F" w:rsidRDefault="00E05D9F">
      <w:pPr>
        <w:spacing w:line="200" w:lineRule="exact"/>
        <w:rPr>
          <w:rFonts w:ascii="Times New Roman" w:eastAsia="Times New Roman" w:hAnsi="Times New Roman"/>
        </w:rPr>
      </w:pPr>
    </w:p>
    <w:p w14:paraId="2B353566" w14:textId="77777777" w:rsidR="00E05D9F" w:rsidRDefault="00E05D9F">
      <w:pPr>
        <w:spacing w:line="200" w:lineRule="exact"/>
        <w:rPr>
          <w:rFonts w:ascii="Times New Roman" w:eastAsia="Times New Roman" w:hAnsi="Times New Roman"/>
        </w:rPr>
      </w:pPr>
    </w:p>
    <w:p w14:paraId="334E5655" w14:textId="77777777" w:rsidR="00E05D9F" w:rsidRDefault="00E05D9F">
      <w:pPr>
        <w:spacing w:line="200" w:lineRule="exact"/>
        <w:rPr>
          <w:rFonts w:ascii="Times New Roman" w:eastAsia="Times New Roman" w:hAnsi="Times New Roman"/>
        </w:rPr>
      </w:pPr>
    </w:p>
    <w:p w14:paraId="5F52D145" w14:textId="77777777" w:rsidR="00E05D9F" w:rsidRDefault="00E05D9F">
      <w:pPr>
        <w:spacing w:line="200" w:lineRule="exact"/>
        <w:rPr>
          <w:rFonts w:ascii="Times New Roman" w:eastAsia="Times New Roman" w:hAnsi="Times New Roman"/>
        </w:rPr>
      </w:pPr>
    </w:p>
    <w:p w14:paraId="07332E78" w14:textId="77777777" w:rsidR="00E05D9F" w:rsidRDefault="00E05D9F">
      <w:pPr>
        <w:spacing w:line="200" w:lineRule="exact"/>
        <w:rPr>
          <w:rFonts w:ascii="Times New Roman" w:eastAsia="Times New Roman" w:hAnsi="Times New Roman"/>
        </w:rPr>
      </w:pPr>
    </w:p>
    <w:p w14:paraId="518A625F" w14:textId="77777777" w:rsidR="00E05D9F" w:rsidRDefault="00CD2493" w:rsidP="00CD2493">
      <w:pPr>
        <w:tabs>
          <w:tab w:val="left" w:pos="990"/>
        </w:tabs>
        <w:spacing w:line="200" w:lineRule="exact"/>
        <w:rPr>
          <w:rFonts w:ascii="Times New Roman" w:eastAsia="Times New Roman" w:hAnsi="Times New Roman"/>
        </w:rPr>
      </w:pPr>
      <w:r>
        <w:rPr>
          <w:rFonts w:ascii="Times New Roman" w:eastAsia="Times New Roman" w:hAnsi="Times New Roman"/>
        </w:rPr>
        <w:tab/>
      </w:r>
    </w:p>
    <w:p w14:paraId="44ECB9DE" w14:textId="77777777" w:rsidR="00E05D9F" w:rsidRDefault="00E05D9F">
      <w:pPr>
        <w:spacing w:line="200" w:lineRule="exact"/>
        <w:rPr>
          <w:rFonts w:ascii="Times New Roman" w:eastAsia="Times New Roman" w:hAnsi="Times New Roman"/>
        </w:rPr>
      </w:pPr>
    </w:p>
    <w:p w14:paraId="48A34DF1" w14:textId="77777777" w:rsidR="00E05D9F" w:rsidRDefault="00E05D9F">
      <w:pPr>
        <w:spacing w:line="200" w:lineRule="exact"/>
        <w:rPr>
          <w:rFonts w:ascii="Times New Roman" w:eastAsia="Times New Roman" w:hAnsi="Times New Roman"/>
        </w:rPr>
      </w:pPr>
    </w:p>
    <w:p w14:paraId="3BF1FDA7" w14:textId="77777777" w:rsidR="00E05D9F" w:rsidRDefault="00E05D9F">
      <w:pPr>
        <w:spacing w:line="200" w:lineRule="exact"/>
        <w:rPr>
          <w:rFonts w:ascii="Times New Roman" w:eastAsia="Times New Roman" w:hAnsi="Times New Roman"/>
        </w:rPr>
      </w:pPr>
    </w:p>
    <w:p w14:paraId="4D9CC71C" w14:textId="77777777" w:rsidR="00E05D9F" w:rsidRDefault="00E05D9F">
      <w:pPr>
        <w:spacing w:line="200" w:lineRule="exact"/>
        <w:rPr>
          <w:rFonts w:ascii="Times New Roman" w:eastAsia="Times New Roman" w:hAnsi="Times New Roman"/>
        </w:rPr>
      </w:pPr>
    </w:p>
    <w:p w14:paraId="128F560A" w14:textId="77777777" w:rsidR="00E05D9F" w:rsidRDefault="00E05D9F">
      <w:pPr>
        <w:spacing w:line="200" w:lineRule="exact"/>
        <w:rPr>
          <w:rFonts w:ascii="Times New Roman" w:eastAsia="Times New Roman" w:hAnsi="Times New Roman"/>
        </w:rPr>
      </w:pPr>
    </w:p>
    <w:p w14:paraId="1FE48172" w14:textId="77777777" w:rsidR="00E05D9F" w:rsidRDefault="00E05D9F">
      <w:pPr>
        <w:spacing w:line="200" w:lineRule="exact"/>
        <w:rPr>
          <w:rFonts w:ascii="Times New Roman" w:eastAsia="Times New Roman" w:hAnsi="Times New Roman"/>
        </w:rPr>
      </w:pPr>
    </w:p>
    <w:p w14:paraId="1C46B4A7" w14:textId="77777777" w:rsidR="00E05D9F" w:rsidRDefault="00E05D9F">
      <w:pPr>
        <w:spacing w:line="200" w:lineRule="exact"/>
        <w:rPr>
          <w:rFonts w:ascii="Times New Roman" w:eastAsia="Times New Roman" w:hAnsi="Times New Roman"/>
        </w:rPr>
      </w:pPr>
    </w:p>
    <w:p w14:paraId="5F8D3405" w14:textId="77777777" w:rsidR="00E05D9F" w:rsidRDefault="00E05D9F">
      <w:pPr>
        <w:spacing w:line="200" w:lineRule="exact"/>
        <w:rPr>
          <w:rFonts w:ascii="Times New Roman" w:eastAsia="Times New Roman" w:hAnsi="Times New Roman"/>
        </w:rPr>
      </w:pPr>
    </w:p>
    <w:p w14:paraId="47119D5A" w14:textId="77777777" w:rsidR="00E05D9F" w:rsidRDefault="00E05D9F">
      <w:pPr>
        <w:spacing w:line="200" w:lineRule="exact"/>
        <w:rPr>
          <w:rFonts w:ascii="Times New Roman" w:eastAsia="Times New Roman" w:hAnsi="Times New Roman"/>
        </w:rPr>
      </w:pPr>
    </w:p>
    <w:p w14:paraId="09CE5100" w14:textId="77777777" w:rsidR="00E05D9F" w:rsidRDefault="00E05D9F">
      <w:pPr>
        <w:spacing w:line="200" w:lineRule="exact"/>
        <w:rPr>
          <w:rFonts w:ascii="Times New Roman" w:eastAsia="Times New Roman" w:hAnsi="Times New Roman"/>
        </w:rPr>
      </w:pPr>
    </w:p>
    <w:p w14:paraId="4B063588" w14:textId="77777777" w:rsidR="00E05D9F" w:rsidRDefault="00E05D9F">
      <w:pPr>
        <w:spacing w:line="200" w:lineRule="exact"/>
        <w:rPr>
          <w:rFonts w:ascii="Times New Roman" w:eastAsia="Times New Roman" w:hAnsi="Times New Roman"/>
        </w:rPr>
      </w:pPr>
    </w:p>
    <w:p w14:paraId="484075A7" w14:textId="77777777" w:rsidR="00E05D9F" w:rsidRDefault="00E05D9F">
      <w:pPr>
        <w:spacing w:line="200" w:lineRule="exact"/>
        <w:rPr>
          <w:rFonts w:ascii="Times New Roman" w:eastAsia="Times New Roman" w:hAnsi="Times New Roman"/>
        </w:rPr>
      </w:pPr>
    </w:p>
    <w:p w14:paraId="6BEE59F0" w14:textId="77777777" w:rsidR="00E05D9F" w:rsidRDefault="00E05D9F">
      <w:pPr>
        <w:spacing w:line="200" w:lineRule="exact"/>
        <w:rPr>
          <w:rFonts w:ascii="Times New Roman" w:eastAsia="Times New Roman" w:hAnsi="Times New Roman"/>
        </w:rPr>
      </w:pPr>
    </w:p>
    <w:p w14:paraId="31FD36F6" w14:textId="77777777" w:rsidR="00E05D9F" w:rsidRDefault="00E05D9F">
      <w:pPr>
        <w:spacing w:line="200" w:lineRule="exact"/>
        <w:rPr>
          <w:rFonts w:ascii="Times New Roman" w:eastAsia="Times New Roman" w:hAnsi="Times New Roman"/>
        </w:rPr>
      </w:pPr>
    </w:p>
    <w:p w14:paraId="5A324F10" w14:textId="77777777" w:rsidR="00E05D9F" w:rsidRDefault="00E05D9F">
      <w:pPr>
        <w:spacing w:line="200" w:lineRule="exact"/>
        <w:rPr>
          <w:rFonts w:ascii="Times New Roman" w:eastAsia="Times New Roman" w:hAnsi="Times New Roman"/>
        </w:rPr>
      </w:pPr>
    </w:p>
    <w:p w14:paraId="570FEE88" w14:textId="77777777" w:rsidR="00E05D9F" w:rsidRDefault="00E05D9F">
      <w:pPr>
        <w:spacing w:line="200" w:lineRule="exact"/>
        <w:rPr>
          <w:rFonts w:ascii="Times New Roman" w:eastAsia="Times New Roman" w:hAnsi="Times New Roman"/>
        </w:rPr>
      </w:pPr>
    </w:p>
    <w:p w14:paraId="193EA975" w14:textId="77777777" w:rsidR="00E05D9F" w:rsidRDefault="00E05D9F">
      <w:pPr>
        <w:spacing w:line="200" w:lineRule="exact"/>
        <w:rPr>
          <w:rFonts w:ascii="Times New Roman" w:eastAsia="Times New Roman" w:hAnsi="Times New Roman"/>
        </w:rPr>
      </w:pPr>
    </w:p>
    <w:p w14:paraId="13F79D03" w14:textId="77777777" w:rsidR="00E05D9F" w:rsidRDefault="00E05D9F">
      <w:pPr>
        <w:spacing w:line="200" w:lineRule="exact"/>
        <w:rPr>
          <w:rFonts w:ascii="Times New Roman" w:eastAsia="Times New Roman" w:hAnsi="Times New Roman"/>
        </w:rPr>
      </w:pPr>
    </w:p>
    <w:p w14:paraId="1D4F35B6" w14:textId="77777777" w:rsidR="00E05D9F" w:rsidRDefault="00E05D9F">
      <w:pPr>
        <w:spacing w:line="200" w:lineRule="exact"/>
        <w:rPr>
          <w:rFonts w:ascii="Times New Roman" w:eastAsia="Times New Roman" w:hAnsi="Times New Roman"/>
        </w:rPr>
      </w:pPr>
    </w:p>
    <w:p w14:paraId="02CC54BF" w14:textId="77777777" w:rsidR="00E05D9F" w:rsidRDefault="00E05D9F">
      <w:pPr>
        <w:spacing w:line="200" w:lineRule="exact"/>
        <w:rPr>
          <w:rFonts w:ascii="Times New Roman" w:eastAsia="Times New Roman" w:hAnsi="Times New Roman"/>
        </w:rPr>
      </w:pPr>
    </w:p>
    <w:p w14:paraId="73DBDDC1" w14:textId="77777777" w:rsidR="00E05D9F" w:rsidRDefault="00E05D9F">
      <w:pPr>
        <w:spacing w:line="200" w:lineRule="exact"/>
        <w:rPr>
          <w:rFonts w:ascii="Times New Roman" w:eastAsia="Times New Roman" w:hAnsi="Times New Roman"/>
        </w:rPr>
      </w:pPr>
    </w:p>
    <w:p w14:paraId="54D7220F" w14:textId="77777777" w:rsidR="00E05D9F" w:rsidRDefault="00E05D9F">
      <w:pPr>
        <w:spacing w:line="214" w:lineRule="exact"/>
        <w:rPr>
          <w:rFonts w:ascii="Times New Roman" w:eastAsia="Times New Roman" w:hAnsi="Times New Roman"/>
        </w:rPr>
      </w:pPr>
    </w:p>
    <w:p w14:paraId="5C428E69" w14:textId="77777777" w:rsidR="00E05D9F" w:rsidRDefault="00E05D9F">
      <w:pPr>
        <w:spacing w:line="0" w:lineRule="atLeast"/>
        <w:jc w:val="right"/>
      </w:pPr>
      <w:r>
        <w:t>25</w:t>
      </w:r>
    </w:p>
    <w:sectPr w:rsidR="00E05D9F" w:rsidSect="00F716F9">
      <w:pgSz w:w="11920" w:h="16845"/>
      <w:pgMar w:top="1396" w:right="1410" w:bottom="1440" w:left="1412" w:header="0" w:footer="68" w:gutter="0"/>
      <w:cols w:space="0" w:equalWidth="0">
        <w:col w:w="908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29E20" w14:textId="77777777" w:rsidR="00447E89" w:rsidRDefault="00447E89" w:rsidP="009A2873">
      <w:r>
        <w:separator/>
      </w:r>
    </w:p>
  </w:endnote>
  <w:endnote w:type="continuationSeparator" w:id="0">
    <w:p w14:paraId="2797A3D6" w14:textId="77777777" w:rsidR="00447E89" w:rsidRDefault="00447E89" w:rsidP="009A2873">
      <w:r>
        <w:continuationSeparator/>
      </w:r>
    </w:p>
  </w:endnote>
  <w:endnote w:type="continuationNotice" w:id="1">
    <w:p w14:paraId="4789702B" w14:textId="77777777" w:rsidR="00447E89" w:rsidRDefault="00447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4A8F1" w14:textId="7E8EAE23" w:rsidR="009A2873" w:rsidRDefault="00C36DA5">
    <w:pPr>
      <w:pStyle w:val="Stopka"/>
    </w:pPr>
    <w:r>
      <w:rPr>
        <w:noProof/>
      </w:rPr>
      <w:drawing>
        <wp:inline distT="0" distB="0" distL="0" distR="0" wp14:anchorId="041E4950" wp14:editId="6E255EA0">
          <wp:extent cx="5761355" cy="571500"/>
          <wp:effectExtent l="0" t="0" r="0" b="0"/>
          <wp:docPr id="2" name="Obraz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7150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1B81A" w14:textId="5F31448A" w:rsidR="00C36DA5" w:rsidRDefault="00C36DA5">
    <w:pPr>
      <w:pStyle w:val="Stopka"/>
    </w:pPr>
    <w:r w:rsidRPr="00C36DA5">
      <w:rPr>
        <w:noProof/>
      </w:rPr>
      <w:drawing>
        <wp:inline distT="0" distB="0" distL="0" distR="0" wp14:anchorId="3054B905" wp14:editId="2AAC1EE8">
          <wp:extent cx="5781675" cy="571500"/>
          <wp:effectExtent l="0" t="0" r="0" b="0"/>
          <wp:docPr id="24"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F3AFD" w14:textId="77777777" w:rsidR="00447E89" w:rsidRDefault="00447E89" w:rsidP="009A2873">
      <w:r>
        <w:separator/>
      </w:r>
    </w:p>
  </w:footnote>
  <w:footnote w:type="continuationSeparator" w:id="0">
    <w:p w14:paraId="63135FFE" w14:textId="77777777" w:rsidR="00447E89" w:rsidRDefault="00447E89" w:rsidP="009A2873">
      <w:r>
        <w:continuationSeparator/>
      </w:r>
    </w:p>
  </w:footnote>
  <w:footnote w:type="continuationNotice" w:id="1">
    <w:p w14:paraId="08958A4F" w14:textId="77777777" w:rsidR="00447E89" w:rsidRDefault="00447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D0884" w14:textId="77777777" w:rsidR="00C36DA5" w:rsidRDefault="00C36DA5" w:rsidP="00C36DA5">
    <w:pPr>
      <w:pStyle w:val="Nagwek"/>
      <w:ind w:left="5529"/>
      <w:rPr>
        <w:rFonts w:ascii="Arial" w:hAnsi="Arial"/>
        <w:sz w:val="24"/>
      </w:rPr>
    </w:pPr>
  </w:p>
  <w:p w14:paraId="4D3397D1" w14:textId="77777777" w:rsidR="00C36DA5" w:rsidRDefault="00C36DA5" w:rsidP="00C36DA5">
    <w:pPr>
      <w:pStyle w:val="Nagwek"/>
      <w:ind w:left="5529"/>
      <w:rPr>
        <w:rFonts w:ascii="Arial" w:hAnsi="Arial"/>
        <w:sz w:val="24"/>
      </w:rPr>
    </w:pPr>
  </w:p>
  <w:p w14:paraId="0CC11D19" w14:textId="77777777" w:rsidR="00C36DA5" w:rsidRDefault="00C36DA5" w:rsidP="00C36DA5">
    <w:pPr>
      <w:pStyle w:val="Nagwek"/>
    </w:pPr>
  </w:p>
  <w:p w14:paraId="00B2584B" w14:textId="1A3276F8" w:rsidR="00C36DA5" w:rsidRDefault="00C36DA5">
    <w:pPr>
      <w:pStyle w:val="Nagwek"/>
    </w:pPr>
  </w:p>
  <w:p w14:paraId="76C5B647" w14:textId="77777777" w:rsidR="00C36DA5" w:rsidRDefault="00C36DA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884E8" w14:textId="77777777" w:rsidR="00E94D40" w:rsidRDefault="00E94D40" w:rsidP="00E94D40">
    <w:pPr>
      <w:pStyle w:val="Nagwek"/>
      <w:rPr>
        <w:rFonts w:ascii="Arial" w:hAnsi="Arial"/>
        <w:sz w:val="24"/>
        <w:szCs w:val="24"/>
      </w:rPr>
    </w:pPr>
  </w:p>
  <w:p w14:paraId="6BE45AC3" w14:textId="77777777" w:rsidR="006B550F" w:rsidRDefault="006B550F" w:rsidP="009E5F7E">
    <w:pPr>
      <w:pStyle w:val="Nagwek"/>
      <w:ind w:left="5529"/>
      <w:rPr>
        <w:rFonts w:ascii="Arial" w:hAnsi="Arial"/>
        <w:sz w:val="24"/>
        <w:szCs w:val="24"/>
      </w:rPr>
    </w:pPr>
  </w:p>
  <w:p w14:paraId="49B37220" w14:textId="6B991C6C" w:rsidR="00E94D40" w:rsidRPr="00E94D40" w:rsidRDefault="00E94D40" w:rsidP="009E5F7E">
    <w:pPr>
      <w:pStyle w:val="Nagwek"/>
      <w:ind w:left="5529"/>
      <w:rPr>
        <w:rFonts w:ascii="Arial" w:hAnsi="Arial"/>
        <w:sz w:val="24"/>
        <w:szCs w:val="24"/>
      </w:rPr>
    </w:pPr>
    <w:r w:rsidRPr="00E94D40">
      <w:rPr>
        <w:rFonts w:ascii="Arial" w:hAnsi="Arial"/>
        <w:sz w:val="24"/>
        <w:szCs w:val="24"/>
      </w:rPr>
      <w:t xml:space="preserve">Załącznik nr </w:t>
    </w:r>
    <w:r w:rsidR="008A2F51">
      <w:rPr>
        <w:rFonts w:ascii="Arial" w:hAnsi="Arial"/>
        <w:sz w:val="24"/>
        <w:szCs w:val="24"/>
      </w:rPr>
      <w:t>8</w:t>
    </w:r>
    <w:r w:rsidRPr="00E94D40">
      <w:rPr>
        <w:rFonts w:ascii="Arial" w:hAnsi="Arial"/>
        <w:sz w:val="24"/>
        <w:szCs w:val="24"/>
      </w:rPr>
      <w:t xml:space="preserve"> do umowy</w:t>
    </w:r>
  </w:p>
  <w:p w14:paraId="1BE92156" w14:textId="0DD69D42" w:rsidR="00374255" w:rsidRPr="00E94D40" w:rsidRDefault="008A2F51" w:rsidP="008A2F51">
    <w:pPr>
      <w:pStyle w:val="Nagwek"/>
      <w:spacing w:before="120"/>
      <w:ind w:left="5529"/>
      <w:rPr>
        <w:rFonts w:ascii="Arial" w:hAnsi="Arial"/>
        <w:sz w:val="24"/>
        <w:szCs w:val="24"/>
      </w:rPr>
    </w:pPr>
    <w:r w:rsidRPr="008A2F51">
      <w:rPr>
        <w:rFonts w:ascii="Arial" w:hAnsi="Arial"/>
        <w:sz w:val="24"/>
        <w:szCs w:val="24"/>
      </w:rPr>
      <w:t>Mechanizm monitorowania i wycofania w przypadku finansowania infrastruktury badawczej ze środków publicznych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E7FF52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6CEAF086"/>
    <w:lvl w:ilvl="0" w:tplc="FFFFFFFF">
      <w:start w:val="4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22221A70"/>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4516DDE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3006C83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419AC240"/>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5577F8E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440BADFC"/>
    <w:lvl w:ilvl="0" w:tplc="FFFFFFFF">
      <w:start w:val="2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0507236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3804823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77465F0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7724C67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5C482A9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2463B9EA"/>
    <w:lvl w:ilvl="0" w:tplc="FFFFFFFF">
      <w:start w:val="2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5E884ADC"/>
    <w:lvl w:ilvl="0" w:tplc="FFFFFFFF">
      <w:start w:val="2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51EAD36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2D517796"/>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580BD78E"/>
    <w:lvl w:ilvl="0" w:tplc="FFFFFFFF">
      <w:start w:val="2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153EA4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7"/>
    <w:multiLevelType w:val="hybridMultilevel"/>
    <w:tmpl w:val="385558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70A64E2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9"/>
    <w:multiLevelType w:val="hybridMultilevel"/>
    <w:tmpl w:val="6A2342E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A"/>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B"/>
    <w:multiLevelType w:val="hybridMultilevel"/>
    <w:tmpl w:val="1D4ED4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C"/>
    <w:multiLevelType w:val="hybridMultilevel"/>
    <w:tmpl w:val="725A06FA"/>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D"/>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E"/>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F"/>
    <w:multiLevelType w:val="hybridMultilevel"/>
    <w:tmpl w:val="7A6D8D3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0"/>
    <w:multiLevelType w:val="hybridMultilevel"/>
    <w:tmpl w:val="4B588F54"/>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1"/>
    <w:multiLevelType w:val="hybridMultilevel"/>
    <w:tmpl w:val="542289E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2"/>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3"/>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4"/>
    <w:multiLevelType w:val="hybridMultilevel"/>
    <w:tmpl w:val="7644A45C"/>
    <w:lvl w:ilvl="0" w:tplc="FFFFFFFF">
      <w:start w:val="2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5"/>
    <w:multiLevelType w:val="hybridMultilevel"/>
    <w:tmpl w:val="32FFF90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6"/>
    <w:multiLevelType w:val="hybridMultilevel"/>
    <w:tmpl w:val="684A48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7"/>
    <w:multiLevelType w:val="hybridMultilevel"/>
    <w:tmpl w:val="579478F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8"/>
    <w:multiLevelType w:val="hybridMultilevel"/>
    <w:tmpl w:val="749ABB4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9"/>
    <w:multiLevelType w:val="hybridMultilevel"/>
    <w:tmpl w:val="3DC240F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B"/>
    <w:multiLevelType w:val="hybridMultilevel"/>
    <w:tmpl w:val="79A1DEAA"/>
    <w:lvl w:ilvl="0" w:tplc="FFFFFFFF">
      <w:start w:val="2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C"/>
    <w:multiLevelType w:val="hybridMultilevel"/>
    <w:tmpl w:val="75C6C33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D"/>
    <w:multiLevelType w:val="hybridMultilevel"/>
    <w:tmpl w:val="12E685FA"/>
    <w:lvl w:ilvl="0" w:tplc="FFFFFFFF">
      <w:start w:val="2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F"/>
    <w:multiLevelType w:val="hybridMultilevel"/>
    <w:tmpl w:val="520EEDD0"/>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0"/>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1"/>
    <w:multiLevelType w:val="hybridMultilevel"/>
    <w:tmpl w:val="4F4EF004"/>
    <w:lvl w:ilvl="0" w:tplc="FFFFFFFF">
      <w:start w:val="2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2"/>
    <w:multiLevelType w:val="hybridMultilevel"/>
    <w:tmpl w:val="23F9C13C"/>
    <w:lvl w:ilvl="0" w:tplc="FFFFFFFF">
      <w:start w:val="2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3"/>
    <w:multiLevelType w:val="hybridMultilevel"/>
    <w:tmpl w:val="649BB77C"/>
    <w:lvl w:ilvl="0" w:tplc="FFFFFFFF">
      <w:start w:val="2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4"/>
    <w:multiLevelType w:val="hybridMultilevel"/>
    <w:tmpl w:val="275AC7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5"/>
    <w:multiLevelType w:val="hybridMultilevel"/>
    <w:tmpl w:val="3938657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6"/>
    <w:multiLevelType w:val="hybridMultilevel"/>
    <w:tmpl w:val="1CF10FD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7"/>
    <w:multiLevelType w:val="hybridMultilevel"/>
    <w:tmpl w:val="180115B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8"/>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9"/>
    <w:multiLevelType w:val="hybridMultilevel"/>
    <w:tmpl w:val="47398C8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A"/>
    <w:multiLevelType w:val="hybridMultilevel"/>
    <w:tmpl w:val="354FE9F8"/>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B"/>
    <w:multiLevelType w:val="hybridMultilevel"/>
    <w:tmpl w:val="15B5AF5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3C"/>
    <w:multiLevelType w:val="hybridMultilevel"/>
    <w:tmpl w:val="741226BA"/>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2122527035">
    <w:abstractNumId w:val="0"/>
  </w:num>
  <w:num w:numId="2" w16cid:durableId="1544825720">
    <w:abstractNumId w:val="1"/>
  </w:num>
  <w:num w:numId="3" w16cid:durableId="1239749427">
    <w:abstractNumId w:val="2"/>
  </w:num>
  <w:num w:numId="4" w16cid:durableId="1146166174">
    <w:abstractNumId w:val="3"/>
  </w:num>
  <w:num w:numId="5" w16cid:durableId="882208699">
    <w:abstractNumId w:val="4"/>
  </w:num>
  <w:num w:numId="6" w16cid:durableId="831410904">
    <w:abstractNumId w:val="5"/>
  </w:num>
  <w:num w:numId="7" w16cid:durableId="2027830627">
    <w:abstractNumId w:val="6"/>
  </w:num>
  <w:num w:numId="8" w16cid:durableId="1198733160">
    <w:abstractNumId w:val="7"/>
  </w:num>
  <w:num w:numId="9" w16cid:durableId="1276248604">
    <w:abstractNumId w:val="8"/>
  </w:num>
  <w:num w:numId="10" w16cid:durableId="681277132">
    <w:abstractNumId w:val="9"/>
  </w:num>
  <w:num w:numId="11" w16cid:durableId="1385716126">
    <w:abstractNumId w:val="10"/>
  </w:num>
  <w:num w:numId="12" w16cid:durableId="1409036034">
    <w:abstractNumId w:val="11"/>
  </w:num>
  <w:num w:numId="13" w16cid:durableId="397675918">
    <w:abstractNumId w:val="12"/>
  </w:num>
  <w:num w:numId="14" w16cid:durableId="874007089">
    <w:abstractNumId w:val="13"/>
  </w:num>
  <w:num w:numId="15" w16cid:durableId="2075227513">
    <w:abstractNumId w:val="14"/>
  </w:num>
  <w:num w:numId="16" w16cid:durableId="1842310201">
    <w:abstractNumId w:val="15"/>
  </w:num>
  <w:num w:numId="17" w16cid:durableId="660698218">
    <w:abstractNumId w:val="16"/>
  </w:num>
  <w:num w:numId="18" w16cid:durableId="1224754584">
    <w:abstractNumId w:val="17"/>
  </w:num>
  <w:num w:numId="19" w16cid:durableId="542326809">
    <w:abstractNumId w:val="18"/>
  </w:num>
  <w:num w:numId="20" w16cid:durableId="1189879878">
    <w:abstractNumId w:val="19"/>
  </w:num>
  <w:num w:numId="21" w16cid:durableId="1358848793">
    <w:abstractNumId w:val="20"/>
  </w:num>
  <w:num w:numId="22" w16cid:durableId="1893812674">
    <w:abstractNumId w:val="21"/>
  </w:num>
  <w:num w:numId="23" w16cid:durableId="1253705832">
    <w:abstractNumId w:val="22"/>
  </w:num>
  <w:num w:numId="24" w16cid:durableId="482234026">
    <w:abstractNumId w:val="23"/>
  </w:num>
  <w:num w:numId="25" w16cid:durableId="278416624">
    <w:abstractNumId w:val="24"/>
  </w:num>
  <w:num w:numId="26" w16cid:durableId="1651130034">
    <w:abstractNumId w:val="25"/>
  </w:num>
  <w:num w:numId="27" w16cid:durableId="1936161166">
    <w:abstractNumId w:val="26"/>
  </w:num>
  <w:num w:numId="28" w16cid:durableId="227960670">
    <w:abstractNumId w:val="27"/>
  </w:num>
  <w:num w:numId="29" w16cid:durableId="1293554899">
    <w:abstractNumId w:val="28"/>
  </w:num>
  <w:num w:numId="30" w16cid:durableId="137116369">
    <w:abstractNumId w:val="29"/>
  </w:num>
  <w:num w:numId="31" w16cid:durableId="555897366">
    <w:abstractNumId w:val="30"/>
  </w:num>
  <w:num w:numId="32" w16cid:durableId="1543060149">
    <w:abstractNumId w:val="31"/>
  </w:num>
  <w:num w:numId="33" w16cid:durableId="1874729278">
    <w:abstractNumId w:val="32"/>
  </w:num>
  <w:num w:numId="34" w16cid:durableId="345711191">
    <w:abstractNumId w:val="33"/>
  </w:num>
  <w:num w:numId="35" w16cid:durableId="251593250">
    <w:abstractNumId w:val="34"/>
  </w:num>
  <w:num w:numId="36" w16cid:durableId="64225356">
    <w:abstractNumId w:val="35"/>
  </w:num>
  <w:num w:numId="37" w16cid:durableId="2130393385">
    <w:abstractNumId w:val="36"/>
  </w:num>
  <w:num w:numId="38" w16cid:durableId="583997625">
    <w:abstractNumId w:val="37"/>
  </w:num>
  <w:num w:numId="39" w16cid:durableId="418530337">
    <w:abstractNumId w:val="38"/>
  </w:num>
  <w:num w:numId="40" w16cid:durableId="1926457437">
    <w:abstractNumId w:val="39"/>
  </w:num>
  <w:num w:numId="41" w16cid:durableId="1030650046">
    <w:abstractNumId w:val="40"/>
  </w:num>
  <w:num w:numId="42" w16cid:durableId="1571696239">
    <w:abstractNumId w:val="41"/>
  </w:num>
  <w:num w:numId="43" w16cid:durableId="329866549">
    <w:abstractNumId w:val="42"/>
  </w:num>
  <w:num w:numId="44" w16cid:durableId="264774466">
    <w:abstractNumId w:val="43"/>
  </w:num>
  <w:num w:numId="45" w16cid:durableId="1701855744">
    <w:abstractNumId w:val="44"/>
  </w:num>
  <w:num w:numId="46" w16cid:durableId="865602319">
    <w:abstractNumId w:val="45"/>
  </w:num>
  <w:num w:numId="47" w16cid:durableId="2087265213">
    <w:abstractNumId w:val="46"/>
  </w:num>
  <w:num w:numId="48" w16cid:durableId="1010913805">
    <w:abstractNumId w:val="47"/>
  </w:num>
  <w:num w:numId="49" w16cid:durableId="1953319112">
    <w:abstractNumId w:val="48"/>
  </w:num>
  <w:num w:numId="50" w16cid:durableId="1382443740">
    <w:abstractNumId w:val="49"/>
  </w:num>
  <w:num w:numId="51" w16cid:durableId="1363898421">
    <w:abstractNumId w:val="50"/>
  </w:num>
  <w:num w:numId="52" w16cid:durableId="2049639894">
    <w:abstractNumId w:val="51"/>
  </w:num>
  <w:num w:numId="53" w16cid:durableId="51778300">
    <w:abstractNumId w:val="52"/>
  </w:num>
  <w:num w:numId="54" w16cid:durableId="2042440655">
    <w:abstractNumId w:val="53"/>
  </w:num>
  <w:num w:numId="55" w16cid:durableId="1702432345">
    <w:abstractNumId w:val="54"/>
  </w:num>
  <w:num w:numId="56" w16cid:durableId="312872354">
    <w:abstractNumId w:val="55"/>
  </w:num>
  <w:num w:numId="57" w16cid:durableId="592864320">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36"/>
    <w:rsid w:val="000253FA"/>
    <w:rsid w:val="00027525"/>
    <w:rsid w:val="00201F6D"/>
    <w:rsid w:val="0027237B"/>
    <w:rsid w:val="00296581"/>
    <w:rsid w:val="00330963"/>
    <w:rsid w:val="003679B5"/>
    <w:rsid w:val="003718B0"/>
    <w:rsid w:val="00374255"/>
    <w:rsid w:val="003765BB"/>
    <w:rsid w:val="003C48EA"/>
    <w:rsid w:val="00447E89"/>
    <w:rsid w:val="00466A63"/>
    <w:rsid w:val="00474E92"/>
    <w:rsid w:val="004C3C3B"/>
    <w:rsid w:val="00511B91"/>
    <w:rsid w:val="0055507A"/>
    <w:rsid w:val="00596671"/>
    <w:rsid w:val="005E3B45"/>
    <w:rsid w:val="00602F33"/>
    <w:rsid w:val="006662D7"/>
    <w:rsid w:val="006B550F"/>
    <w:rsid w:val="00744C3B"/>
    <w:rsid w:val="00745727"/>
    <w:rsid w:val="0076363D"/>
    <w:rsid w:val="007A0FD5"/>
    <w:rsid w:val="00834FA9"/>
    <w:rsid w:val="00867215"/>
    <w:rsid w:val="008921AB"/>
    <w:rsid w:val="008A2F51"/>
    <w:rsid w:val="008D2317"/>
    <w:rsid w:val="008E608C"/>
    <w:rsid w:val="00903213"/>
    <w:rsid w:val="00911712"/>
    <w:rsid w:val="00973CC4"/>
    <w:rsid w:val="009A2873"/>
    <w:rsid w:val="009B1079"/>
    <w:rsid w:val="009E5F7E"/>
    <w:rsid w:val="009E60C5"/>
    <w:rsid w:val="00B43BF6"/>
    <w:rsid w:val="00B502F5"/>
    <w:rsid w:val="00B65FD0"/>
    <w:rsid w:val="00B85CE9"/>
    <w:rsid w:val="00C342C6"/>
    <w:rsid w:val="00C36DA5"/>
    <w:rsid w:val="00C56546"/>
    <w:rsid w:val="00CD2493"/>
    <w:rsid w:val="00CF4D47"/>
    <w:rsid w:val="00D861EA"/>
    <w:rsid w:val="00D930B9"/>
    <w:rsid w:val="00DA162E"/>
    <w:rsid w:val="00DC090D"/>
    <w:rsid w:val="00E012BC"/>
    <w:rsid w:val="00E01E99"/>
    <w:rsid w:val="00E03120"/>
    <w:rsid w:val="00E05D9F"/>
    <w:rsid w:val="00E94D40"/>
    <w:rsid w:val="00EB6236"/>
    <w:rsid w:val="00F0089A"/>
    <w:rsid w:val="00F716F9"/>
    <w:rsid w:val="00FC2A99"/>
    <w:rsid w:val="00FE1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111CC"/>
  <w15:chartTrackingRefBased/>
  <w15:docId w15:val="{2C03C898-7C51-468C-96DA-E1677916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A2873"/>
    <w:pPr>
      <w:tabs>
        <w:tab w:val="center" w:pos="4536"/>
        <w:tab w:val="right" w:pos="9072"/>
      </w:tabs>
    </w:pPr>
  </w:style>
  <w:style w:type="character" w:customStyle="1" w:styleId="NagwekZnak">
    <w:name w:val="Nagłówek Znak"/>
    <w:basedOn w:val="Domylnaczcionkaakapitu"/>
    <w:link w:val="Nagwek"/>
    <w:uiPriority w:val="99"/>
    <w:rsid w:val="009A2873"/>
  </w:style>
  <w:style w:type="paragraph" w:styleId="Stopka">
    <w:name w:val="footer"/>
    <w:basedOn w:val="Normalny"/>
    <w:link w:val="StopkaZnak"/>
    <w:uiPriority w:val="99"/>
    <w:unhideWhenUsed/>
    <w:rsid w:val="009A2873"/>
    <w:pPr>
      <w:tabs>
        <w:tab w:val="center" w:pos="4536"/>
        <w:tab w:val="right" w:pos="9072"/>
      </w:tabs>
    </w:pPr>
  </w:style>
  <w:style w:type="character" w:customStyle="1" w:styleId="StopkaZnak">
    <w:name w:val="Stopka Znak"/>
    <w:basedOn w:val="Domylnaczcionkaakapitu"/>
    <w:link w:val="Stopka"/>
    <w:uiPriority w:val="99"/>
    <w:rsid w:val="009A2873"/>
  </w:style>
  <w:style w:type="paragraph" w:styleId="Akapitzlist">
    <w:name w:val="List Paragraph"/>
    <w:basedOn w:val="Normalny"/>
    <w:uiPriority w:val="34"/>
    <w:qFormat/>
    <w:rsid w:val="00FC2A99"/>
    <w:pPr>
      <w:ind w:left="720"/>
      <w:contextualSpacing/>
    </w:pPr>
  </w:style>
  <w:style w:type="paragraph" w:styleId="Poprawka">
    <w:name w:val="Revision"/>
    <w:hidden/>
    <w:uiPriority w:val="99"/>
    <w:semiHidden/>
    <w:rsid w:val="00FC2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1635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F6C30-04ED-4942-9C41-8FE6C580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9545</Words>
  <Characters>57270</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66682</CharactersWithSpaces>
  <SharedDoc>false</SharedDoc>
  <HLinks>
    <vt:vector size="162" baseType="variant">
      <vt:variant>
        <vt:i4>3604517</vt:i4>
      </vt:variant>
      <vt:variant>
        <vt:i4>78</vt:i4>
      </vt:variant>
      <vt:variant>
        <vt:i4>0</vt:i4>
      </vt:variant>
      <vt:variant>
        <vt:i4>5</vt:i4>
      </vt:variant>
      <vt:variant>
        <vt:lpwstr/>
      </vt:variant>
      <vt:variant>
        <vt:lpwstr>page23</vt:lpwstr>
      </vt:variant>
      <vt:variant>
        <vt:i4>3604517</vt:i4>
      </vt:variant>
      <vt:variant>
        <vt:i4>75</vt:i4>
      </vt:variant>
      <vt:variant>
        <vt:i4>0</vt:i4>
      </vt:variant>
      <vt:variant>
        <vt:i4>5</vt:i4>
      </vt:variant>
      <vt:variant>
        <vt:lpwstr/>
      </vt:variant>
      <vt:variant>
        <vt:lpwstr>page23</vt:lpwstr>
      </vt:variant>
      <vt:variant>
        <vt:i4>3473445</vt:i4>
      </vt:variant>
      <vt:variant>
        <vt:i4>72</vt:i4>
      </vt:variant>
      <vt:variant>
        <vt:i4>0</vt:i4>
      </vt:variant>
      <vt:variant>
        <vt:i4>5</vt:i4>
      </vt:variant>
      <vt:variant>
        <vt:lpwstr/>
      </vt:variant>
      <vt:variant>
        <vt:lpwstr>page21</vt:lpwstr>
      </vt:variant>
      <vt:variant>
        <vt:i4>3473445</vt:i4>
      </vt:variant>
      <vt:variant>
        <vt:i4>69</vt:i4>
      </vt:variant>
      <vt:variant>
        <vt:i4>0</vt:i4>
      </vt:variant>
      <vt:variant>
        <vt:i4>5</vt:i4>
      </vt:variant>
      <vt:variant>
        <vt:lpwstr/>
      </vt:variant>
      <vt:variant>
        <vt:lpwstr>page21</vt:lpwstr>
      </vt:variant>
      <vt:variant>
        <vt:i4>3407909</vt:i4>
      </vt:variant>
      <vt:variant>
        <vt:i4>66</vt:i4>
      </vt:variant>
      <vt:variant>
        <vt:i4>0</vt:i4>
      </vt:variant>
      <vt:variant>
        <vt:i4>5</vt:i4>
      </vt:variant>
      <vt:variant>
        <vt:lpwstr/>
      </vt:variant>
      <vt:variant>
        <vt:lpwstr>page20</vt:lpwstr>
      </vt:variant>
      <vt:variant>
        <vt:i4>3407909</vt:i4>
      </vt:variant>
      <vt:variant>
        <vt:i4>63</vt:i4>
      </vt:variant>
      <vt:variant>
        <vt:i4>0</vt:i4>
      </vt:variant>
      <vt:variant>
        <vt:i4>5</vt:i4>
      </vt:variant>
      <vt:variant>
        <vt:lpwstr/>
      </vt:variant>
      <vt:variant>
        <vt:lpwstr>page20</vt:lpwstr>
      </vt:variant>
      <vt:variant>
        <vt:i4>3145766</vt:i4>
      </vt:variant>
      <vt:variant>
        <vt:i4>60</vt:i4>
      </vt:variant>
      <vt:variant>
        <vt:i4>0</vt:i4>
      </vt:variant>
      <vt:variant>
        <vt:i4>5</vt:i4>
      </vt:variant>
      <vt:variant>
        <vt:lpwstr/>
      </vt:variant>
      <vt:variant>
        <vt:lpwstr>page14</vt:lpwstr>
      </vt:variant>
      <vt:variant>
        <vt:i4>3145766</vt:i4>
      </vt:variant>
      <vt:variant>
        <vt:i4>57</vt:i4>
      </vt:variant>
      <vt:variant>
        <vt:i4>0</vt:i4>
      </vt:variant>
      <vt:variant>
        <vt:i4>5</vt:i4>
      </vt:variant>
      <vt:variant>
        <vt:lpwstr/>
      </vt:variant>
      <vt:variant>
        <vt:lpwstr>page14</vt:lpwstr>
      </vt:variant>
      <vt:variant>
        <vt:i4>3145766</vt:i4>
      </vt:variant>
      <vt:variant>
        <vt:i4>54</vt:i4>
      </vt:variant>
      <vt:variant>
        <vt:i4>0</vt:i4>
      </vt:variant>
      <vt:variant>
        <vt:i4>5</vt:i4>
      </vt:variant>
      <vt:variant>
        <vt:lpwstr/>
      </vt:variant>
      <vt:variant>
        <vt:lpwstr>page14</vt:lpwstr>
      </vt:variant>
      <vt:variant>
        <vt:i4>3473446</vt:i4>
      </vt:variant>
      <vt:variant>
        <vt:i4>51</vt:i4>
      </vt:variant>
      <vt:variant>
        <vt:i4>0</vt:i4>
      </vt:variant>
      <vt:variant>
        <vt:i4>5</vt:i4>
      </vt:variant>
      <vt:variant>
        <vt:lpwstr/>
      </vt:variant>
      <vt:variant>
        <vt:lpwstr>page11</vt:lpwstr>
      </vt:variant>
      <vt:variant>
        <vt:i4>3473446</vt:i4>
      </vt:variant>
      <vt:variant>
        <vt:i4>48</vt:i4>
      </vt:variant>
      <vt:variant>
        <vt:i4>0</vt:i4>
      </vt:variant>
      <vt:variant>
        <vt:i4>5</vt:i4>
      </vt:variant>
      <vt:variant>
        <vt:lpwstr/>
      </vt:variant>
      <vt:variant>
        <vt:lpwstr>page11</vt:lpwstr>
      </vt:variant>
      <vt:variant>
        <vt:i4>3473446</vt:i4>
      </vt:variant>
      <vt:variant>
        <vt:i4>45</vt:i4>
      </vt:variant>
      <vt:variant>
        <vt:i4>0</vt:i4>
      </vt:variant>
      <vt:variant>
        <vt:i4>5</vt:i4>
      </vt:variant>
      <vt:variant>
        <vt:lpwstr/>
      </vt:variant>
      <vt:variant>
        <vt:lpwstr>page11</vt:lpwstr>
      </vt:variant>
      <vt:variant>
        <vt:i4>3473446</vt:i4>
      </vt:variant>
      <vt:variant>
        <vt:i4>42</vt:i4>
      </vt:variant>
      <vt:variant>
        <vt:i4>0</vt:i4>
      </vt:variant>
      <vt:variant>
        <vt:i4>5</vt:i4>
      </vt:variant>
      <vt:variant>
        <vt:lpwstr/>
      </vt:variant>
      <vt:variant>
        <vt:lpwstr>page11</vt:lpwstr>
      </vt:variant>
      <vt:variant>
        <vt:i4>262167</vt:i4>
      </vt:variant>
      <vt:variant>
        <vt:i4>39</vt:i4>
      </vt:variant>
      <vt:variant>
        <vt:i4>0</vt:i4>
      </vt:variant>
      <vt:variant>
        <vt:i4>5</vt:i4>
      </vt:variant>
      <vt:variant>
        <vt:lpwstr/>
      </vt:variant>
      <vt:variant>
        <vt:lpwstr>page7</vt:lpwstr>
      </vt:variant>
      <vt:variant>
        <vt:i4>262167</vt:i4>
      </vt:variant>
      <vt:variant>
        <vt:i4>36</vt:i4>
      </vt:variant>
      <vt:variant>
        <vt:i4>0</vt:i4>
      </vt:variant>
      <vt:variant>
        <vt:i4>5</vt:i4>
      </vt:variant>
      <vt:variant>
        <vt:lpwstr/>
      </vt:variant>
      <vt:variant>
        <vt:lpwstr>page7</vt:lpwstr>
      </vt:variant>
      <vt:variant>
        <vt:i4>262167</vt:i4>
      </vt:variant>
      <vt:variant>
        <vt:i4>33</vt:i4>
      </vt:variant>
      <vt:variant>
        <vt:i4>0</vt:i4>
      </vt:variant>
      <vt:variant>
        <vt:i4>5</vt:i4>
      </vt:variant>
      <vt:variant>
        <vt:lpwstr/>
      </vt:variant>
      <vt:variant>
        <vt:lpwstr>page7</vt:lpwstr>
      </vt:variant>
      <vt:variant>
        <vt:i4>262167</vt:i4>
      </vt:variant>
      <vt:variant>
        <vt:i4>30</vt:i4>
      </vt:variant>
      <vt:variant>
        <vt:i4>0</vt:i4>
      </vt:variant>
      <vt:variant>
        <vt:i4>5</vt:i4>
      </vt:variant>
      <vt:variant>
        <vt:lpwstr/>
      </vt:variant>
      <vt:variant>
        <vt:lpwstr>page7</vt:lpwstr>
      </vt:variant>
      <vt:variant>
        <vt:i4>262167</vt:i4>
      </vt:variant>
      <vt:variant>
        <vt:i4>27</vt:i4>
      </vt:variant>
      <vt:variant>
        <vt:i4>0</vt:i4>
      </vt:variant>
      <vt:variant>
        <vt:i4>5</vt:i4>
      </vt:variant>
      <vt:variant>
        <vt:lpwstr/>
      </vt:variant>
      <vt:variant>
        <vt:lpwstr>page7</vt:lpwstr>
      </vt:variant>
      <vt:variant>
        <vt:i4>262167</vt:i4>
      </vt:variant>
      <vt:variant>
        <vt:i4>24</vt:i4>
      </vt:variant>
      <vt:variant>
        <vt:i4>0</vt:i4>
      </vt:variant>
      <vt:variant>
        <vt:i4>5</vt:i4>
      </vt:variant>
      <vt:variant>
        <vt:lpwstr/>
      </vt:variant>
      <vt:variant>
        <vt:lpwstr>page7</vt:lpwstr>
      </vt:variant>
      <vt:variant>
        <vt:i4>262167</vt:i4>
      </vt:variant>
      <vt:variant>
        <vt:i4>21</vt:i4>
      </vt:variant>
      <vt:variant>
        <vt:i4>0</vt:i4>
      </vt:variant>
      <vt:variant>
        <vt:i4>5</vt:i4>
      </vt:variant>
      <vt:variant>
        <vt:lpwstr/>
      </vt:variant>
      <vt:variant>
        <vt:lpwstr>page7</vt:lpwstr>
      </vt:variant>
      <vt:variant>
        <vt:i4>262167</vt:i4>
      </vt:variant>
      <vt:variant>
        <vt:i4>18</vt:i4>
      </vt:variant>
      <vt:variant>
        <vt:i4>0</vt:i4>
      </vt:variant>
      <vt:variant>
        <vt:i4>5</vt:i4>
      </vt:variant>
      <vt:variant>
        <vt:lpwstr/>
      </vt:variant>
      <vt:variant>
        <vt:lpwstr>page7</vt:lpwstr>
      </vt:variant>
      <vt:variant>
        <vt:i4>262167</vt:i4>
      </vt:variant>
      <vt:variant>
        <vt:i4>15</vt:i4>
      </vt:variant>
      <vt:variant>
        <vt:i4>0</vt:i4>
      </vt:variant>
      <vt:variant>
        <vt:i4>5</vt:i4>
      </vt:variant>
      <vt:variant>
        <vt:lpwstr/>
      </vt:variant>
      <vt:variant>
        <vt:lpwstr>page7</vt:lpwstr>
      </vt:variant>
      <vt:variant>
        <vt:i4>262167</vt:i4>
      </vt:variant>
      <vt:variant>
        <vt:i4>12</vt:i4>
      </vt:variant>
      <vt:variant>
        <vt:i4>0</vt:i4>
      </vt:variant>
      <vt:variant>
        <vt:i4>5</vt:i4>
      </vt:variant>
      <vt:variant>
        <vt:lpwstr/>
      </vt:variant>
      <vt:variant>
        <vt:lpwstr>page7</vt:lpwstr>
      </vt:variant>
      <vt:variant>
        <vt:i4>262167</vt:i4>
      </vt:variant>
      <vt:variant>
        <vt:i4>9</vt:i4>
      </vt:variant>
      <vt:variant>
        <vt:i4>0</vt:i4>
      </vt:variant>
      <vt:variant>
        <vt:i4>5</vt:i4>
      </vt:variant>
      <vt:variant>
        <vt:lpwstr/>
      </vt:variant>
      <vt:variant>
        <vt:lpwstr>page3</vt:lpwstr>
      </vt:variant>
      <vt:variant>
        <vt:i4>262167</vt:i4>
      </vt:variant>
      <vt:variant>
        <vt:i4>6</vt:i4>
      </vt:variant>
      <vt:variant>
        <vt:i4>0</vt:i4>
      </vt:variant>
      <vt:variant>
        <vt:i4>5</vt:i4>
      </vt:variant>
      <vt:variant>
        <vt:lpwstr/>
      </vt:variant>
      <vt:variant>
        <vt:lpwstr>page3</vt:lpwstr>
      </vt:variant>
      <vt:variant>
        <vt:i4>262167</vt:i4>
      </vt:variant>
      <vt:variant>
        <vt:i4>3</vt:i4>
      </vt:variant>
      <vt:variant>
        <vt:i4>0</vt:i4>
      </vt:variant>
      <vt:variant>
        <vt:i4>5</vt:i4>
      </vt:variant>
      <vt:variant>
        <vt:lpwstr/>
      </vt:variant>
      <vt:variant>
        <vt:lpwstr>page1</vt:lpwstr>
      </vt:variant>
      <vt:variant>
        <vt:i4>262167</vt:i4>
      </vt:variant>
      <vt:variant>
        <vt:i4>0</vt:i4>
      </vt:variant>
      <vt:variant>
        <vt:i4>0</vt:i4>
      </vt:variant>
      <vt:variant>
        <vt:i4>5</vt:i4>
      </vt:variant>
      <vt:variant>
        <vt:lpwstr/>
      </vt:variant>
      <vt:variant>
        <vt:lpwstr>page1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Kołdyj</dc:creator>
  <cp:keywords/>
  <cp:lastModifiedBy>ONIOP</cp:lastModifiedBy>
  <cp:revision>22</cp:revision>
  <cp:lastPrinted>2024-05-24T10:34:00Z</cp:lastPrinted>
  <dcterms:created xsi:type="dcterms:W3CDTF">2024-04-29T07:35:00Z</dcterms:created>
  <dcterms:modified xsi:type="dcterms:W3CDTF">2024-05-24T10:34:00Z</dcterms:modified>
</cp:coreProperties>
</file>