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8722" w14:textId="2CF027D6" w:rsidR="00874ED4" w:rsidRPr="003906D4" w:rsidRDefault="00874ED4" w:rsidP="0047293C">
      <w:pPr>
        <w:pStyle w:val="Tytu"/>
        <w:tabs>
          <w:tab w:val="right" w:leader="dot" w:pos="3402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5F1208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7E161DD9" w:rsidR="00874ED4" w:rsidRPr="003906D4" w:rsidRDefault="00874ED4" w:rsidP="00FB4171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ul.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3E415E">
        <w:rPr>
          <w:sz w:val="24"/>
          <w:szCs w:val="24"/>
        </w:rPr>
        <w:tab/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FB4171">
      <w:pPr>
        <w:pStyle w:val="Tekstpodstawowy"/>
        <w:numPr>
          <w:ilvl w:val="0"/>
          <w:numId w:val="3"/>
        </w:numPr>
        <w:tabs>
          <w:tab w:val="right" w:leader="dot" w:pos="3402"/>
        </w:tabs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FB4171">
      <w:pPr>
        <w:pStyle w:val="Tekstpodstawowy2"/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7F7ED2" w:rsidR="003D4BB5" w:rsidRPr="003906D4" w:rsidRDefault="00874ED4" w:rsidP="00FB4171">
      <w:pPr>
        <w:pStyle w:val="Tekstpodstawowy2"/>
        <w:tabs>
          <w:tab w:val="right" w:leader="dot" w:pos="2835"/>
          <w:tab w:val="right" w:leader="dot" w:pos="6946"/>
          <w:tab w:val="right" w:leader="dot" w:pos="9072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E415E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</w:t>
      </w:r>
      <w:r w:rsidR="00853B78">
        <w:rPr>
          <w:sz w:val="24"/>
          <w:szCs w:val="24"/>
        </w:rPr>
        <w:t xml:space="preserve"> </w:t>
      </w:r>
      <w:r w:rsidR="00853B78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4F39C4B9" w:rsidR="00865B22" w:rsidRPr="003906D4" w:rsidRDefault="00874ED4" w:rsidP="00FB4171">
      <w:pPr>
        <w:pStyle w:val="Tekstpodstawowy2"/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9069F3">
        <w:rPr>
          <w:sz w:val="24"/>
          <w:szCs w:val="24"/>
        </w:rPr>
        <w:t>2</w:t>
      </w:r>
      <w:r w:rsidR="0049250E" w:rsidRPr="0049250E">
        <w:rPr>
          <w:sz w:val="24"/>
          <w:szCs w:val="24"/>
        </w:rPr>
        <w:t>.0</w:t>
      </w:r>
      <w:r w:rsidR="009069F3">
        <w:rPr>
          <w:sz w:val="24"/>
          <w:szCs w:val="24"/>
        </w:rPr>
        <w:t>5</w:t>
      </w:r>
      <w:r w:rsidR="0049250E" w:rsidRPr="0049250E">
        <w:rPr>
          <w:sz w:val="24"/>
          <w:szCs w:val="24"/>
        </w:rPr>
        <w:t>-IP.01-00</w:t>
      </w:r>
      <w:r w:rsidR="009069F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/2</w:t>
      </w:r>
      <w:r w:rsidR="00FB4171">
        <w:rPr>
          <w:sz w:val="24"/>
          <w:szCs w:val="24"/>
        </w:rPr>
        <w:t>4</w:t>
      </w:r>
      <w:r w:rsidR="0055453F" w:rsidRPr="003906D4">
        <w:rPr>
          <w:sz w:val="24"/>
          <w:szCs w:val="24"/>
        </w:rPr>
        <w:t>.</w:t>
      </w:r>
    </w:p>
    <w:p w14:paraId="7C0639AA" w14:textId="3E91B258" w:rsidR="00A05FD0" w:rsidRPr="00450360" w:rsidRDefault="00874ED4" w:rsidP="00FB4171">
      <w:pPr>
        <w:numPr>
          <w:ilvl w:val="0"/>
          <w:numId w:val="3"/>
        </w:numPr>
        <w:tabs>
          <w:tab w:val="right" w:leader="dot" w:pos="6237"/>
          <w:tab w:val="left" w:leader="dot" w:pos="7938"/>
        </w:tabs>
        <w:spacing w:before="240" w:after="240"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="002111CA">
        <w:rPr>
          <w:rFonts w:ascii="Arial" w:hAnsi="Arial" w:cs="Arial"/>
        </w:rPr>
        <w:t xml:space="preserve"> </w:t>
      </w:r>
      <w:r w:rsidR="002111C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zł (słownie</w:t>
      </w:r>
      <w:r w:rsidR="002111C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FB4171">
      <w:pPr>
        <w:pStyle w:val="Tekstpodstawowy2"/>
        <w:numPr>
          <w:ilvl w:val="0"/>
          <w:numId w:val="3"/>
        </w:numPr>
        <w:tabs>
          <w:tab w:val="right" w:leader="dot" w:pos="5670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lastRenderedPageBreak/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nioskodawcy dokonanej w oparciu o wniosek o udzielenie kredytu 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A5AB6E0" w:rsidR="00874ED4" w:rsidRPr="003906D4" w:rsidRDefault="00874ED4" w:rsidP="00FB4171">
      <w:pPr>
        <w:pStyle w:val="Tekstpodstawowy2"/>
        <w:numPr>
          <w:ilvl w:val="0"/>
          <w:numId w:val="3"/>
        </w:numPr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68271AE" w:rsidR="00874ED4" w:rsidRPr="000E6864" w:rsidRDefault="00874ED4" w:rsidP="00FB4171">
      <w:pPr>
        <w:pStyle w:val="Akapitzlist"/>
        <w:numPr>
          <w:ilvl w:val="0"/>
          <w:numId w:val="4"/>
        </w:numPr>
        <w:tabs>
          <w:tab w:val="right" w:leader="dot" w:pos="8505"/>
        </w:tabs>
        <w:spacing w:before="240" w:after="240" w:line="276" w:lineRule="auto"/>
        <w:ind w:left="284" w:hanging="284"/>
        <w:contextualSpacing w:val="0"/>
        <w:rPr>
          <w:rFonts w:ascii="Arial" w:hAnsi="Arial" w:cs="Arial"/>
        </w:rPr>
      </w:pPr>
      <w:r w:rsidRPr="000E6864">
        <w:rPr>
          <w:rFonts w:ascii="Arial" w:hAnsi="Arial" w:cs="Arial"/>
        </w:rPr>
        <w:t>ust</w:t>
      </w:r>
      <w:r w:rsidR="000E6864" w:rsidRPr="000E6864">
        <w:rPr>
          <w:rFonts w:ascii="Arial" w:hAnsi="Arial" w:cs="Arial"/>
        </w:rPr>
        <w:t>an</w:t>
      </w:r>
      <w:r w:rsidRPr="000E6864">
        <w:rPr>
          <w:rFonts w:ascii="Arial" w:hAnsi="Arial" w:cs="Arial"/>
        </w:rPr>
        <w:t>owienie zabezpieczenia spłaty kredytu w formie:</w:t>
      </w:r>
      <w:r w:rsidR="000E6864" w:rsidRPr="000E6864">
        <w:rPr>
          <w:rFonts w:ascii="Arial" w:hAnsi="Arial" w:cs="Arial"/>
        </w:rPr>
        <w:tab/>
      </w:r>
      <w:r w:rsidR="000E6864" w:rsidRPr="000E6864">
        <w:rPr>
          <w:rFonts w:ascii="Arial" w:hAnsi="Arial" w:cs="Arial"/>
        </w:rPr>
        <w:tab/>
        <w:t xml:space="preserve"> </w:t>
      </w:r>
    </w:p>
    <w:p w14:paraId="3199468B" w14:textId="26297426" w:rsidR="00874ED4" w:rsidRPr="003906D4" w:rsidRDefault="000E6864" w:rsidP="00FB4171">
      <w:pPr>
        <w:pStyle w:val="Tekstpodstawowy2"/>
        <w:tabs>
          <w:tab w:val="right" w:leader="dot" w:pos="4253"/>
          <w:tab w:val="right" w:leader="dot" w:pos="8505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4ED4" w:rsidRPr="003906D4">
        <w:rPr>
          <w:sz w:val="24"/>
          <w:szCs w:val="24"/>
        </w:rPr>
        <w:t>(skreślić, jeśli nie dotyczy)</w:t>
      </w:r>
    </w:p>
    <w:p w14:paraId="48D9D04E" w14:textId="2C8FFBA5" w:rsidR="00A05FD0" w:rsidRPr="00450360" w:rsidRDefault="000E6864" w:rsidP="00FB4171">
      <w:pPr>
        <w:numPr>
          <w:ilvl w:val="0"/>
          <w:numId w:val="4"/>
        </w:numPr>
        <w:tabs>
          <w:tab w:val="right" w:leader="dot" w:pos="8505"/>
        </w:tabs>
        <w:spacing w:before="240" w:after="240" w:line="276" w:lineRule="auto"/>
        <w:ind w:left="284" w:hanging="284"/>
        <w:rPr>
          <w:rFonts w:ascii="Arial" w:hAnsi="Arial" w:cs="Arial"/>
        </w:rPr>
      </w:pPr>
      <w:r w:rsidRPr="00450360">
        <w:rPr>
          <w:rFonts w:ascii="Arial" w:hAnsi="Arial" w:cs="Arial"/>
        </w:rPr>
        <w:t>inne warunki udzielania kredytu np. uzupełnienie dokumentów lub ich aktualizacja, wniesienie wymaganych opłat, prowizji, itp.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9E8128" w14:textId="585FE619" w:rsidR="0034789D" w:rsidRPr="003C22F0" w:rsidRDefault="00874ED4" w:rsidP="00FB4171">
      <w:pPr>
        <w:pStyle w:val="Tekstpodstawowy3"/>
        <w:numPr>
          <w:ilvl w:val="0"/>
          <w:numId w:val="3"/>
        </w:numPr>
        <w:tabs>
          <w:tab w:val="left" w:pos="5812"/>
        </w:tabs>
        <w:spacing w:before="240" w:after="24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</w:t>
      </w:r>
      <w:r w:rsidR="009421CA">
        <w:rPr>
          <w:rFonts w:ascii="Arial" w:hAnsi="Arial" w:cs="Arial"/>
          <w:sz w:val="24"/>
          <w:szCs w:val="24"/>
        </w:rPr>
        <w:t>ą</w:t>
      </w:r>
      <w:r w:rsidRPr="003906D4">
        <w:rPr>
          <w:rFonts w:ascii="Arial" w:hAnsi="Arial" w:cs="Arial"/>
          <w:sz w:val="24"/>
          <w:szCs w:val="24"/>
        </w:rPr>
        <w:t xml:space="preserve"> bądź jest ona zagrożona.</w:t>
      </w:r>
    </w:p>
    <w:p w14:paraId="71FF20F1" w14:textId="1EAA7A47" w:rsidR="003C22F0" w:rsidRDefault="00874ED4" w:rsidP="00FB4171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FB4171">
      <w:p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4B609645" w14:textId="5819A1ED" w:rsidR="00B878EE" w:rsidRPr="003906D4" w:rsidRDefault="00B878EE" w:rsidP="00FB4171">
      <w:p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  <w:r w:rsidR="0034789D"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79769840">
          <wp:extent cx="5760720" cy="612371"/>
          <wp:effectExtent l="0" t="0" r="0" b="0"/>
          <wp:doc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21A47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C21A47">
      <w:pPr>
        <w:pStyle w:val="Tekstprzypisudolnego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77777777" w:rsidR="00874ED4" w:rsidRPr="00F67727" w:rsidRDefault="00874ED4" w:rsidP="00C21A4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D8E9" w14:textId="6173337A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 I</w:t>
    </w:r>
    <w:r w:rsidR="008B4BFE">
      <w:rPr>
        <w:rFonts w:ascii="Arial" w:hAnsi="Arial" w:cs="Arial"/>
        <w:iCs/>
      </w:rPr>
      <w:t>V</w:t>
    </w:r>
    <w:r w:rsidRPr="00844A54">
      <w:rPr>
        <w:rFonts w:ascii="Arial" w:hAnsi="Arial" w:cs="Arial"/>
        <w:iCs/>
      </w:rPr>
      <w:t>.</w:t>
    </w:r>
    <w:r w:rsidR="008B4BFE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187"/>
    <w:multiLevelType w:val="hybridMultilevel"/>
    <w:tmpl w:val="AF9C6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3"/>
  </w:num>
  <w:num w:numId="2" w16cid:durableId="430010350">
    <w:abstractNumId w:val="1"/>
  </w:num>
  <w:num w:numId="3" w16cid:durableId="752051613">
    <w:abstractNumId w:val="2"/>
  </w:num>
  <w:num w:numId="4" w16cid:durableId="15300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251C4"/>
    <w:rsid w:val="0006277F"/>
    <w:rsid w:val="00064479"/>
    <w:rsid w:val="00067EE1"/>
    <w:rsid w:val="0007474B"/>
    <w:rsid w:val="00075267"/>
    <w:rsid w:val="000804CD"/>
    <w:rsid w:val="000B6069"/>
    <w:rsid w:val="000C690B"/>
    <w:rsid w:val="000D21F9"/>
    <w:rsid w:val="000E6864"/>
    <w:rsid w:val="00114145"/>
    <w:rsid w:val="00125FC3"/>
    <w:rsid w:val="00160488"/>
    <w:rsid w:val="001673C6"/>
    <w:rsid w:val="0018641A"/>
    <w:rsid w:val="00196227"/>
    <w:rsid w:val="001B6BE4"/>
    <w:rsid w:val="001F0F20"/>
    <w:rsid w:val="001F35A7"/>
    <w:rsid w:val="002111CA"/>
    <w:rsid w:val="00280CAF"/>
    <w:rsid w:val="002B3E6A"/>
    <w:rsid w:val="002C325D"/>
    <w:rsid w:val="002D18BF"/>
    <w:rsid w:val="0031424B"/>
    <w:rsid w:val="00315648"/>
    <w:rsid w:val="0034789D"/>
    <w:rsid w:val="00356393"/>
    <w:rsid w:val="00357735"/>
    <w:rsid w:val="00370228"/>
    <w:rsid w:val="003906D4"/>
    <w:rsid w:val="0039116A"/>
    <w:rsid w:val="003A685C"/>
    <w:rsid w:val="003A7690"/>
    <w:rsid w:val="003C22F0"/>
    <w:rsid w:val="003C358C"/>
    <w:rsid w:val="003D4BB5"/>
    <w:rsid w:val="003E3F48"/>
    <w:rsid w:val="003E415E"/>
    <w:rsid w:val="003F392E"/>
    <w:rsid w:val="00450360"/>
    <w:rsid w:val="00470668"/>
    <w:rsid w:val="00470F19"/>
    <w:rsid w:val="0047293C"/>
    <w:rsid w:val="00491905"/>
    <w:rsid w:val="0049250E"/>
    <w:rsid w:val="00493738"/>
    <w:rsid w:val="004A0C88"/>
    <w:rsid w:val="004F6583"/>
    <w:rsid w:val="0053443D"/>
    <w:rsid w:val="0055453F"/>
    <w:rsid w:val="00556466"/>
    <w:rsid w:val="00561439"/>
    <w:rsid w:val="005A246A"/>
    <w:rsid w:val="005A282C"/>
    <w:rsid w:val="005E3F33"/>
    <w:rsid w:val="005E4B4E"/>
    <w:rsid w:val="005F1208"/>
    <w:rsid w:val="00601578"/>
    <w:rsid w:val="00607BD0"/>
    <w:rsid w:val="006101A2"/>
    <w:rsid w:val="0064426A"/>
    <w:rsid w:val="006758CC"/>
    <w:rsid w:val="006808DF"/>
    <w:rsid w:val="00697D68"/>
    <w:rsid w:val="006A48C1"/>
    <w:rsid w:val="006F4F99"/>
    <w:rsid w:val="00716A80"/>
    <w:rsid w:val="00737280"/>
    <w:rsid w:val="00744740"/>
    <w:rsid w:val="0075173A"/>
    <w:rsid w:val="0075682F"/>
    <w:rsid w:val="00756FD3"/>
    <w:rsid w:val="00774B21"/>
    <w:rsid w:val="0079355B"/>
    <w:rsid w:val="007C28A6"/>
    <w:rsid w:val="007D431B"/>
    <w:rsid w:val="007E4E62"/>
    <w:rsid w:val="008249BC"/>
    <w:rsid w:val="00827B8A"/>
    <w:rsid w:val="00844A54"/>
    <w:rsid w:val="00853B78"/>
    <w:rsid w:val="00865B22"/>
    <w:rsid w:val="00874ED4"/>
    <w:rsid w:val="0088713B"/>
    <w:rsid w:val="008B4BFE"/>
    <w:rsid w:val="008C50AA"/>
    <w:rsid w:val="008F5D9B"/>
    <w:rsid w:val="008F63C8"/>
    <w:rsid w:val="009069F3"/>
    <w:rsid w:val="009239DB"/>
    <w:rsid w:val="009421CA"/>
    <w:rsid w:val="009505E2"/>
    <w:rsid w:val="00955D02"/>
    <w:rsid w:val="009C0807"/>
    <w:rsid w:val="009C4B99"/>
    <w:rsid w:val="009F0210"/>
    <w:rsid w:val="00A05B43"/>
    <w:rsid w:val="00A05FD0"/>
    <w:rsid w:val="00A91627"/>
    <w:rsid w:val="00AA2E4F"/>
    <w:rsid w:val="00AC6A21"/>
    <w:rsid w:val="00AE22A2"/>
    <w:rsid w:val="00B013F4"/>
    <w:rsid w:val="00B03153"/>
    <w:rsid w:val="00B56A49"/>
    <w:rsid w:val="00B7726F"/>
    <w:rsid w:val="00B878EE"/>
    <w:rsid w:val="00B95767"/>
    <w:rsid w:val="00B97AA4"/>
    <w:rsid w:val="00BA7AEC"/>
    <w:rsid w:val="00BC5C5B"/>
    <w:rsid w:val="00C05320"/>
    <w:rsid w:val="00C121FA"/>
    <w:rsid w:val="00C21A47"/>
    <w:rsid w:val="00C27FBE"/>
    <w:rsid w:val="00C53036"/>
    <w:rsid w:val="00CE100E"/>
    <w:rsid w:val="00CF396A"/>
    <w:rsid w:val="00CF448E"/>
    <w:rsid w:val="00D631FE"/>
    <w:rsid w:val="00DC5213"/>
    <w:rsid w:val="00DD149F"/>
    <w:rsid w:val="00DD45B2"/>
    <w:rsid w:val="00E232CC"/>
    <w:rsid w:val="00E54A78"/>
    <w:rsid w:val="00E66468"/>
    <w:rsid w:val="00E97E37"/>
    <w:rsid w:val="00EB3F36"/>
    <w:rsid w:val="00EC7C85"/>
    <w:rsid w:val="00ED5141"/>
    <w:rsid w:val="00EE7D7D"/>
    <w:rsid w:val="00EF07A4"/>
    <w:rsid w:val="00EF28B4"/>
    <w:rsid w:val="00EF700B"/>
    <w:rsid w:val="00F1104C"/>
    <w:rsid w:val="00F233A0"/>
    <w:rsid w:val="00F23800"/>
    <w:rsid w:val="00F26F4C"/>
    <w:rsid w:val="00F318B2"/>
    <w:rsid w:val="00F6400E"/>
    <w:rsid w:val="00F67727"/>
    <w:rsid w:val="00F901E6"/>
    <w:rsid w:val="00F953A2"/>
    <w:rsid w:val="00FA7F25"/>
    <w:rsid w:val="00FB4171"/>
    <w:rsid w:val="00FD6E22"/>
    <w:rsid w:val="00FE2848"/>
    <w:rsid w:val="00FF249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IV.3 Wzór promesy kredytowej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IV.3 Wzór promesy kredytowej</dc:title>
  <dc:creator>Oddział Oceny Projektów LAWP</dc:creator>
  <cp:lastModifiedBy>Oddział Oceny Projektów OOP</cp:lastModifiedBy>
  <cp:revision>5</cp:revision>
  <cp:lastPrinted>2015-11-16T09:10:00Z</cp:lastPrinted>
  <dcterms:created xsi:type="dcterms:W3CDTF">2024-05-21T09:08:00Z</dcterms:created>
  <dcterms:modified xsi:type="dcterms:W3CDTF">2024-06-18T09:37:00Z</dcterms:modified>
</cp:coreProperties>
</file>