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37DDA09D" w14:textId="5366A478" w:rsidR="00BF103D" w:rsidRDefault="00A926BA" w:rsidP="00BF103D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4A4DBE1D" w14:textId="77777777" w:rsidR="008F0CF8" w:rsidRPr="003952B8" w:rsidRDefault="008F0CF8" w:rsidP="008F0CF8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posiadasz oficjalną stronę internetową musisz tam zamieścić opis projektu. </w:t>
      </w:r>
      <w:r w:rsidRPr="004B11BE">
        <w:rPr>
          <w:rFonts w:ascii="Arial" w:hAnsi="Arial" w:cs="Arial"/>
          <w:b/>
          <w:bCs/>
          <w:sz w:val="24"/>
          <w:szCs w:val="24"/>
        </w:rPr>
        <w:t>Musi się tam znaleźć:</w:t>
      </w:r>
    </w:p>
    <w:p w14:paraId="23834E1B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7F58270A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 xml:space="preserve">i znak Unii Europejskiej </w:t>
      </w:r>
    </w:p>
    <w:p w14:paraId="73DEA48A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zrobione, zakupione etc.),</w:t>
      </w:r>
    </w:p>
    <w:p w14:paraId="3F5B305A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285ACE07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3E9EBA82" w14:textId="77777777" w:rsidR="008F0CF8" w:rsidRPr="007155DD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7155DD">
        <w:rPr>
          <w:rFonts w:cs="Arial"/>
          <w:color w:val="000000"/>
          <w:sz w:val="24"/>
        </w:rPr>
        <w:t>efektów, rezultatów),</w:t>
      </w:r>
    </w:p>
    <w:p w14:paraId="6A65F081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63C8788D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1CC5A473" w14:textId="77777777" w:rsidR="008F0CF8" w:rsidRPr="00BA42F8" w:rsidRDefault="008F0CF8" w:rsidP="008F0C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hasztagi: #FunduszeUE lub #FunduszeEuropejskie.</w:t>
      </w:r>
    </w:p>
    <w:p w14:paraId="6542807B" w14:textId="77777777" w:rsidR="008F0CF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 oznaczenia, które wymieniliśmy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powyżej </w:t>
      </w: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musisz także umieścić na profilu w mediach społecznościowych. </w:t>
      </w:r>
      <w:r w:rsidRPr="007155DD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Jeżeli nie posiadasz takiego profilu, musisz go założyć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4347CB12" w14:textId="77777777" w:rsidR="008F0CF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344649F5" w14:textId="77777777" w:rsidR="008F0CF8" w:rsidRPr="003952B8" w:rsidRDefault="008F0CF8" w:rsidP="008F0CF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39D17D1D" w14:textId="27E2E2C1" w:rsidR="008F0CF8" w:rsidRPr="00023E0A" w:rsidRDefault="008F0CF8" w:rsidP="0008525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34B988A5" w14:textId="77777777" w:rsidR="008F0CF8" w:rsidRPr="004B11BE" w:rsidRDefault="008F0CF8" w:rsidP="008F0CF8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4B11BE">
        <w:rPr>
          <w:rFonts w:ascii="Arial" w:hAnsi="Arial" w:cs="Arial"/>
        </w:rPr>
        <w:t>Gdzie znajdziesz znaki</w:t>
      </w:r>
      <w:r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</w:p>
    <w:p w14:paraId="4CBBE3E1" w14:textId="77777777" w:rsidR="008F0CF8" w:rsidRPr="004B11BE" w:rsidRDefault="008F0CF8" w:rsidP="008F0CF8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 w:rsidRPr="004B11BE">
        <w:rPr>
          <w:rFonts w:ascii="Arial" w:hAnsi="Arial" w:cs="Arial"/>
          <w:sz w:val="24"/>
          <w:szCs w:val="24"/>
        </w:rPr>
        <w:br/>
        <w:t xml:space="preserve">a także wzory plakatów, tablic, naklejek i poglądowe wzory innych materiałów informacyjno-promocyjnych znajdziesz na portalu Funduszy Europejskich: </w:t>
      </w:r>
      <w:hyperlink r:id="rId16" w:tooltip="Zasady komunikacji marki Fundusze Europejskie 2021-2027" w:history="1">
        <w:r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Jest tam również dostępna „Księga Tożsamości Wizualnej marki Fundusze Europejskie 2021-2027”, w której znajdziesz</w:t>
      </w:r>
      <w:r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5F220295" w14:textId="77777777" w:rsidR="008F0CF8" w:rsidRDefault="008F0CF8" w:rsidP="008F0CF8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Zasady stosowania zestawienia znaków dla program</w:t>
      </w:r>
      <w:r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stronie </w:t>
      </w:r>
      <w:hyperlink r:id="rId17" w:tooltip="Fundusze Europejskie dla Lubelskiego 2021-2027" w:history="1">
        <w:r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36C9F1C9" w14:textId="77777777" w:rsidR="008F0CF8" w:rsidRDefault="008F0CF8" w:rsidP="008F0CF8">
      <w:pPr>
        <w:rPr>
          <w:rFonts w:ascii="Arial" w:hAnsi="Arial" w:cs="Arial"/>
          <w:sz w:val="24"/>
          <w:szCs w:val="24"/>
        </w:rPr>
      </w:pPr>
    </w:p>
    <w:p w14:paraId="7C4D75D2" w14:textId="77777777" w:rsidR="008F0CF8" w:rsidRPr="007155DD" w:rsidRDefault="008F0CF8" w:rsidP="008F0CF8">
      <w:pPr>
        <w:rPr>
          <w:rFonts w:ascii="Arial" w:hAnsi="Arial" w:cs="Arial"/>
          <w:b/>
          <w:bCs/>
          <w:sz w:val="24"/>
          <w:szCs w:val="24"/>
        </w:rPr>
      </w:pPr>
      <w:r w:rsidRPr="007155DD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p w14:paraId="727A3B5F" w14:textId="77777777" w:rsidR="00BF103D" w:rsidRPr="007D5805" w:rsidRDefault="00BF103D" w:rsidP="007D5805"/>
    <w:p w14:paraId="3B83ADB8" w14:textId="59D34F84" w:rsidR="00441558" w:rsidRPr="004B11BE" w:rsidRDefault="00441558" w:rsidP="00BE44AA">
      <w:pPr>
        <w:rPr>
          <w:rFonts w:ascii="Arial" w:hAnsi="Arial" w:cs="Arial"/>
          <w:bCs/>
          <w:sz w:val="24"/>
          <w:szCs w:val="24"/>
        </w:rPr>
      </w:pPr>
      <w:bookmarkStart w:id="84" w:name="_Toc405560069"/>
      <w:bookmarkStart w:id="85" w:name="_Toc405560139"/>
      <w:bookmarkStart w:id="86" w:name="_Toc405905541"/>
      <w:bookmarkStart w:id="87" w:name="_Toc406085455"/>
      <w:bookmarkStart w:id="88" w:name="_Toc406086743"/>
      <w:bookmarkStart w:id="89" w:name="_Toc406086934"/>
      <w:bookmarkStart w:id="90" w:name="_Toc406087026"/>
      <w:bookmarkStart w:id="91" w:name="_Toc405560070"/>
      <w:bookmarkStart w:id="92" w:name="_Toc405560140"/>
      <w:bookmarkStart w:id="93" w:name="_Toc405905542"/>
      <w:bookmarkStart w:id="94" w:name="_Toc406085456"/>
      <w:bookmarkStart w:id="95" w:name="_Toc406086744"/>
      <w:bookmarkStart w:id="96" w:name="_Toc406086935"/>
      <w:bookmarkStart w:id="97" w:name="_Toc406087027"/>
      <w:bookmarkStart w:id="98" w:name="_Toc406086938"/>
      <w:bookmarkStart w:id="99" w:name="_Toc406087030"/>
      <w:bookmarkStart w:id="100" w:name="_Toc406086940"/>
      <w:bookmarkStart w:id="101" w:name="_Toc406087032"/>
      <w:bookmarkStart w:id="102" w:name="_Toc406086945"/>
      <w:bookmarkStart w:id="103" w:name="_Toc406087037"/>
      <w:bookmarkStart w:id="104" w:name="_Toc406086947"/>
      <w:bookmarkStart w:id="105" w:name="_Toc406087039"/>
      <w:bookmarkStart w:id="106" w:name="_Toc406086954"/>
      <w:bookmarkStart w:id="107" w:name="_Toc406087046"/>
      <w:bookmarkStart w:id="108" w:name="_Toc406086957"/>
      <w:bookmarkStart w:id="109" w:name="_Toc406087049"/>
      <w:bookmarkStart w:id="110" w:name="_Toc415586344"/>
      <w:bookmarkStart w:id="111" w:name="_Toc415586346"/>
      <w:bookmarkStart w:id="112" w:name="_Toc415586347"/>
      <w:bookmarkStart w:id="113" w:name="_Toc405543179"/>
      <w:bookmarkStart w:id="114" w:name="_Toc405560032"/>
      <w:bookmarkStart w:id="115" w:name="_Toc405560102"/>
      <w:bookmarkStart w:id="116" w:name="_Toc405905504"/>
      <w:bookmarkStart w:id="117" w:name="_Toc406085416"/>
      <w:bookmarkStart w:id="118" w:name="_Toc406086704"/>
      <w:bookmarkStart w:id="119" w:name="_Toc406086895"/>
      <w:bookmarkStart w:id="120" w:name="_Toc406086987"/>
      <w:bookmarkStart w:id="121" w:name="_Toc405543183"/>
      <w:bookmarkStart w:id="122" w:name="_Toc405560036"/>
      <w:bookmarkStart w:id="123" w:name="_Toc405560106"/>
      <w:bookmarkStart w:id="124" w:name="_Toc405905508"/>
      <w:bookmarkStart w:id="125" w:name="_Toc406085420"/>
      <w:bookmarkStart w:id="126" w:name="_Toc406086708"/>
      <w:bookmarkStart w:id="127" w:name="_Toc406086899"/>
      <w:bookmarkStart w:id="128" w:name="_Toc406086991"/>
      <w:bookmarkStart w:id="129" w:name="_Toc488324595"/>
      <w:bookmarkStart w:id="130" w:name="_Toc407619989"/>
      <w:bookmarkStart w:id="131" w:name="_Toc407625463"/>
      <w:bookmarkStart w:id="132" w:name="_Toc405543188"/>
      <w:bookmarkStart w:id="133" w:name="_Toc405560041"/>
      <w:bookmarkStart w:id="134" w:name="_Toc405560111"/>
      <w:bookmarkStart w:id="135" w:name="_Toc405905513"/>
      <w:bookmarkStart w:id="136" w:name="_Toc406085425"/>
      <w:bookmarkStart w:id="137" w:name="_Toc406086713"/>
      <w:bookmarkStart w:id="138" w:name="_Toc406086904"/>
      <w:bookmarkStart w:id="139" w:name="_Toc406086996"/>
      <w:bookmarkStart w:id="140" w:name="_Toc405543192"/>
      <w:bookmarkStart w:id="141" w:name="_Toc405560045"/>
      <w:bookmarkStart w:id="142" w:name="_Toc405560115"/>
      <w:bookmarkStart w:id="143" w:name="_Toc405905517"/>
      <w:bookmarkStart w:id="144" w:name="_Toc406085429"/>
      <w:bookmarkStart w:id="145" w:name="_Toc406086717"/>
      <w:bookmarkStart w:id="146" w:name="_Toc406086908"/>
      <w:bookmarkStart w:id="147" w:name="_Toc406087000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sectPr w:rsidR="00441558" w:rsidRPr="004B11BE" w:rsidSect="00DD19A4">
      <w:headerReference w:type="default" r:id="rId18"/>
      <w:footerReference w:type="default" r:id="rId19"/>
      <w:pgSz w:w="11906" w:h="16838"/>
      <w:pgMar w:top="188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20D86" w14:textId="77777777" w:rsidR="00BE6855" w:rsidRDefault="00BE6855" w:rsidP="005E067D">
      <w:pPr>
        <w:spacing w:after="0" w:line="240" w:lineRule="auto"/>
      </w:pPr>
      <w:r>
        <w:separator/>
      </w:r>
    </w:p>
  </w:endnote>
  <w:endnote w:type="continuationSeparator" w:id="0">
    <w:p w14:paraId="1D05E444" w14:textId="77777777" w:rsidR="00BE6855" w:rsidRDefault="00BE685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35278" w14:textId="77777777" w:rsidR="00BE6855" w:rsidRDefault="00BE6855" w:rsidP="005E067D">
      <w:pPr>
        <w:spacing w:after="0" w:line="240" w:lineRule="auto"/>
      </w:pPr>
      <w:r>
        <w:separator/>
      </w:r>
    </w:p>
  </w:footnote>
  <w:footnote w:type="continuationSeparator" w:id="0">
    <w:p w14:paraId="17463911" w14:textId="77777777" w:rsidR="00BE6855" w:rsidRDefault="00BE6855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DD19A4" w:rsidRDefault="005A3A4A">
      <w:pPr>
        <w:pStyle w:val="Tekstprzypisudolnego"/>
        <w:rPr>
          <w:rFonts w:ascii="Arial" w:hAnsi="Arial" w:cs="Arial"/>
        </w:rPr>
      </w:pPr>
      <w:r w:rsidRPr="00DD19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D19A4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75771307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pt;height:10pt" o:bullet="t">
        <v:imagedata r:id="rId1" o:title="BD10267_"/>
      </v:shape>
    </w:pict>
  </w:numPicBullet>
  <w:numPicBullet w:numPicBulletId="1">
    <w:pict>
      <v:shape id="_x0000_i1033" type="#_x0000_t75" style="width:10pt;height:10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175CF"/>
    <w:rsid w:val="00023E0A"/>
    <w:rsid w:val="0004061A"/>
    <w:rsid w:val="00062F7B"/>
    <w:rsid w:val="0007075D"/>
    <w:rsid w:val="000802B3"/>
    <w:rsid w:val="0008525C"/>
    <w:rsid w:val="00090CC7"/>
    <w:rsid w:val="000A4711"/>
    <w:rsid w:val="000A7E86"/>
    <w:rsid w:val="000B412E"/>
    <w:rsid w:val="000B59DA"/>
    <w:rsid w:val="000C4394"/>
    <w:rsid w:val="000F47E8"/>
    <w:rsid w:val="00101CB0"/>
    <w:rsid w:val="001067A9"/>
    <w:rsid w:val="00107E33"/>
    <w:rsid w:val="00115F1A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0774A"/>
    <w:rsid w:val="003306F5"/>
    <w:rsid w:val="00370396"/>
    <w:rsid w:val="003952B8"/>
    <w:rsid w:val="003A66C4"/>
    <w:rsid w:val="003C1EA7"/>
    <w:rsid w:val="003D5756"/>
    <w:rsid w:val="003F2052"/>
    <w:rsid w:val="00404F6F"/>
    <w:rsid w:val="00413AA2"/>
    <w:rsid w:val="00420A39"/>
    <w:rsid w:val="00423263"/>
    <w:rsid w:val="0043426F"/>
    <w:rsid w:val="00436120"/>
    <w:rsid w:val="00441558"/>
    <w:rsid w:val="0044261D"/>
    <w:rsid w:val="004432BF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EDD"/>
    <w:rsid w:val="00561F0E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1492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420D9"/>
    <w:rsid w:val="00751F4D"/>
    <w:rsid w:val="007534FA"/>
    <w:rsid w:val="00792544"/>
    <w:rsid w:val="007C40DD"/>
    <w:rsid w:val="007D456D"/>
    <w:rsid w:val="007D5805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0CF8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9F52CD"/>
    <w:rsid w:val="00A15DAA"/>
    <w:rsid w:val="00A17038"/>
    <w:rsid w:val="00A21325"/>
    <w:rsid w:val="00A34000"/>
    <w:rsid w:val="00A42D5A"/>
    <w:rsid w:val="00A51092"/>
    <w:rsid w:val="00A63EDB"/>
    <w:rsid w:val="00A83E4A"/>
    <w:rsid w:val="00A926BA"/>
    <w:rsid w:val="00AA7D40"/>
    <w:rsid w:val="00AB2BEE"/>
    <w:rsid w:val="00AE602D"/>
    <w:rsid w:val="00AF0271"/>
    <w:rsid w:val="00AF7BBC"/>
    <w:rsid w:val="00AF7ED3"/>
    <w:rsid w:val="00B31337"/>
    <w:rsid w:val="00B34002"/>
    <w:rsid w:val="00B340D8"/>
    <w:rsid w:val="00B640BE"/>
    <w:rsid w:val="00B66278"/>
    <w:rsid w:val="00B811D6"/>
    <w:rsid w:val="00B92A02"/>
    <w:rsid w:val="00BA0A75"/>
    <w:rsid w:val="00BE44AA"/>
    <w:rsid w:val="00BE6855"/>
    <w:rsid w:val="00BF103D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CF7EB0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D19A4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70B11"/>
    <w:rsid w:val="00F74FFC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1443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10086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Dorota Grabowska</cp:lastModifiedBy>
  <cp:revision>6</cp:revision>
  <cp:lastPrinted>2023-05-19T10:16:00Z</cp:lastPrinted>
  <dcterms:created xsi:type="dcterms:W3CDTF">2024-09-20T06:30:00Z</dcterms:created>
  <dcterms:modified xsi:type="dcterms:W3CDTF">2024-10-18T06:50:00Z</dcterms:modified>
</cp:coreProperties>
</file>