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B14ED" w14:textId="6DC40C4C" w:rsidR="006571CA" w:rsidRDefault="00D917FD" w:rsidP="004B6B8C">
      <w:pPr>
        <w:pStyle w:val="Nagwek1"/>
      </w:pPr>
      <w:r w:rsidRPr="00236549">
        <w:t xml:space="preserve">Załącznik nr 4 do Regulaminu </w:t>
      </w:r>
      <w:r w:rsidR="00B75B9E" w:rsidRPr="00236549">
        <w:t>wyboru projekt</w:t>
      </w:r>
      <w:r w:rsidR="006863FA">
        <w:t>u</w:t>
      </w:r>
      <w:r w:rsidRPr="00236549">
        <w:t xml:space="preserve">: </w:t>
      </w:r>
      <w:r w:rsidR="00294668" w:rsidRPr="00236549">
        <w:t xml:space="preserve">Wykaz wskaźników dotyczących Działania </w:t>
      </w:r>
      <w:r w:rsidR="009F0100">
        <w:t>8</w:t>
      </w:r>
      <w:r w:rsidR="00255B3A">
        <w:t>.5</w:t>
      </w:r>
      <w:r w:rsidR="00B75B9E" w:rsidRPr="00236549">
        <w:t xml:space="preserve"> </w:t>
      </w:r>
      <w:r w:rsidR="0096151A" w:rsidRPr="00236549">
        <w:t>programu Fundusze Europejskie dla Lubelskiego 2021-2027</w:t>
      </w:r>
      <w:r w:rsidR="006863FA">
        <w:t xml:space="preserve"> </w:t>
      </w:r>
    </w:p>
    <w:p w14:paraId="76EF2EF8" w14:textId="6D73B06C" w:rsidR="006863FA" w:rsidRPr="00593BFD" w:rsidRDefault="00C76970" w:rsidP="00B25D30">
      <w:pPr>
        <w:spacing w:before="120" w:after="120"/>
        <w:rPr>
          <w:rFonts w:ascii="Arial" w:hAnsi="Arial" w:cs="Arial"/>
          <w:b/>
          <w:iCs/>
          <w:sz w:val="24"/>
          <w:szCs w:val="24"/>
        </w:rPr>
      </w:pPr>
      <w:r w:rsidRPr="00593BFD">
        <w:rPr>
          <w:rFonts w:ascii="Arial" w:hAnsi="Arial" w:cs="Arial"/>
          <w:iCs/>
          <w:sz w:val="24"/>
          <w:szCs w:val="24"/>
        </w:rPr>
        <w:t xml:space="preserve">Priorytet </w:t>
      </w:r>
      <w:r w:rsidR="00A75A91" w:rsidRPr="00593BFD">
        <w:rPr>
          <w:rFonts w:ascii="Arial" w:eastAsia="Calibri" w:hAnsi="Arial" w:cs="Arial"/>
          <w:sz w:val="24"/>
          <w:szCs w:val="24"/>
        </w:rPr>
        <w:t xml:space="preserve">VIII </w:t>
      </w:r>
      <w:r w:rsidR="00A75A91" w:rsidRPr="00593BFD">
        <w:rPr>
          <w:rFonts w:ascii="Arial" w:hAnsi="Arial" w:cs="Arial"/>
          <w:sz w:val="24"/>
          <w:szCs w:val="24"/>
        </w:rPr>
        <w:t>Zwiększanie spójności społecznej</w:t>
      </w:r>
      <w:r w:rsidR="00255B3A" w:rsidRPr="00593BFD">
        <w:rPr>
          <w:rFonts w:ascii="Arial" w:hAnsi="Arial" w:cs="Arial"/>
          <w:sz w:val="24"/>
          <w:szCs w:val="24"/>
        </w:rPr>
        <w:t xml:space="preserve">, Działanie </w:t>
      </w:r>
      <w:r w:rsidR="00593BFD" w:rsidRPr="00593BFD">
        <w:rPr>
          <w:rFonts w:ascii="Arial" w:eastAsia="Calibri" w:hAnsi="Arial" w:cs="Arial"/>
          <w:sz w:val="24"/>
          <w:szCs w:val="24"/>
        </w:rPr>
        <w:t xml:space="preserve">8.5 </w:t>
      </w:r>
      <w:r w:rsidR="00593BFD" w:rsidRPr="00593BFD">
        <w:rPr>
          <w:rFonts w:ascii="Arial" w:hAnsi="Arial" w:cs="Arial"/>
          <w:sz w:val="24"/>
          <w:szCs w:val="24"/>
        </w:rPr>
        <w:t>Usługi społeczne</w:t>
      </w:r>
      <w:r w:rsidR="00593BFD" w:rsidRPr="00593BFD">
        <w:rPr>
          <w:rFonts w:ascii="Arial" w:eastAsia="Calibri" w:hAnsi="Arial" w:cs="Arial"/>
          <w:sz w:val="24"/>
          <w:szCs w:val="24"/>
        </w:rPr>
        <w:t xml:space="preserve"> typ projektu 1e</w:t>
      </w:r>
      <w:r w:rsidR="00344172">
        <w:rPr>
          <w:rFonts w:ascii="Arial" w:eastAsia="Calibri" w:hAnsi="Arial" w:cs="Arial"/>
          <w:sz w:val="24"/>
          <w:szCs w:val="24"/>
        </w:rPr>
        <w:t>)</w:t>
      </w:r>
      <w:r w:rsidR="00593BFD" w:rsidRPr="00593BFD">
        <w:rPr>
          <w:rFonts w:ascii="Arial" w:eastAsia="Calibri" w:hAnsi="Arial" w:cs="Arial"/>
          <w:sz w:val="24"/>
          <w:szCs w:val="24"/>
        </w:rPr>
        <w:t xml:space="preserve">: Projekty w zakresie: </w:t>
      </w:r>
      <w:r w:rsidR="00593BFD" w:rsidRPr="00593BFD">
        <w:rPr>
          <w:rFonts w:ascii="Arial" w:hAnsi="Arial" w:cs="Arial"/>
          <w:sz w:val="24"/>
          <w:szCs w:val="24"/>
        </w:rPr>
        <w:t>wsparcia dla tworzenia lub funkcjonowania placówek świadczących usługi społeczne w społeczności lokalnej i ich usług, w tym CUS</w:t>
      </w:r>
      <w:r w:rsidR="003417A8" w:rsidRPr="00593BFD">
        <w:rPr>
          <w:rFonts w:ascii="Arial" w:eastAsia="Yu Mincho" w:hAnsi="Arial" w:cs="Arial"/>
          <w:iCs/>
          <w:sz w:val="24"/>
          <w:szCs w:val="24"/>
        </w:rPr>
        <w:t>.</w:t>
      </w:r>
    </w:p>
    <w:tbl>
      <w:tblPr>
        <w:tblpPr w:leftFromText="141" w:rightFromText="141" w:vertAnchor="text" w:tblpXSpec="right" w:tblpY="1"/>
        <w:tblOverlap w:val="never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wskaźników dotyczących Działania 10.3"/>
        <w:tblDescription w:val="Tabela zawiera wykaz wskaźników. Dla każdego wskaźnika wskazano jednostkę miary, rodzaj wskaźnika oraz definicję. "/>
      </w:tblPr>
      <w:tblGrid>
        <w:gridCol w:w="704"/>
        <w:gridCol w:w="2145"/>
        <w:gridCol w:w="1541"/>
        <w:gridCol w:w="1558"/>
        <w:gridCol w:w="3119"/>
      </w:tblGrid>
      <w:tr w:rsidR="008128E6" w:rsidRPr="00F46040" w14:paraId="6E3A1AAE" w14:textId="77777777" w:rsidTr="001341B6">
        <w:trPr>
          <w:tblHeader/>
        </w:trPr>
        <w:tc>
          <w:tcPr>
            <w:tcW w:w="388" w:type="pct"/>
            <w:shd w:val="clear" w:color="auto" w:fill="auto"/>
            <w:vAlign w:val="center"/>
          </w:tcPr>
          <w:p w14:paraId="39ECDD3A" w14:textId="77777777" w:rsidR="00FB270C" w:rsidRPr="00F46040" w:rsidRDefault="00FB270C" w:rsidP="00E11C4A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1183" w:type="pct"/>
            <w:shd w:val="clear" w:color="auto" w:fill="auto"/>
            <w:vAlign w:val="center"/>
          </w:tcPr>
          <w:p w14:paraId="4EEFDC00" w14:textId="77777777" w:rsidR="00FB270C" w:rsidRPr="00F46040" w:rsidRDefault="00FB270C" w:rsidP="00E11C4A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b/>
                <w:iCs/>
                <w:sz w:val="24"/>
                <w:szCs w:val="24"/>
              </w:rPr>
              <w:t>Nazwa wskaźnika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0D20A003" w14:textId="3CD3AB24" w:rsidR="00FB270C" w:rsidRPr="00F46040" w:rsidRDefault="00FB270C" w:rsidP="00E11C4A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b/>
                <w:iCs/>
                <w:sz w:val="24"/>
                <w:szCs w:val="24"/>
              </w:rPr>
              <w:t>Jednostka</w:t>
            </w:r>
            <w:r w:rsidR="006133EC" w:rsidRPr="00F46040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</w:t>
            </w:r>
            <w:r w:rsidRPr="00F46040">
              <w:rPr>
                <w:rFonts w:ascii="Arial" w:hAnsi="Arial" w:cs="Arial"/>
                <w:b/>
                <w:iCs/>
                <w:sz w:val="24"/>
                <w:szCs w:val="24"/>
              </w:rPr>
              <w:t>miary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25DDEAC6" w14:textId="1FA928AF" w:rsidR="00FB270C" w:rsidRPr="00F46040" w:rsidRDefault="00FB270C" w:rsidP="00E11C4A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b/>
                <w:iCs/>
                <w:sz w:val="24"/>
                <w:szCs w:val="24"/>
              </w:rPr>
              <w:t>Rodzaj</w:t>
            </w:r>
            <w:r w:rsidR="006133EC" w:rsidRPr="00F46040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</w:t>
            </w:r>
            <w:r w:rsidRPr="00F46040">
              <w:rPr>
                <w:rFonts w:ascii="Arial" w:hAnsi="Arial" w:cs="Arial"/>
                <w:b/>
                <w:iCs/>
                <w:sz w:val="24"/>
                <w:szCs w:val="24"/>
              </w:rPr>
              <w:t>wskaźnika</w:t>
            </w:r>
          </w:p>
        </w:tc>
        <w:tc>
          <w:tcPr>
            <w:tcW w:w="1720" w:type="pct"/>
            <w:shd w:val="clear" w:color="auto" w:fill="auto"/>
            <w:vAlign w:val="center"/>
          </w:tcPr>
          <w:p w14:paraId="4D84799B" w14:textId="77777777" w:rsidR="00FB270C" w:rsidRPr="00F46040" w:rsidRDefault="00FB270C" w:rsidP="00E11C4A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b/>
                <w:iCs/>
                <w:sz w:val="24"/>
                <w:szCs w:val="24"/>
              </w:rPr>
              <w:t>Definicja</w:t>
            </w:r>
          </w:p>
        </w:tc>
      </w:tr>
      <w:tr w:rsidR="00F66B1F" w:rsidRPr="00F46040" w14:paraId="5063B28E" w14:textId="77777777" w:rsidTr="001341B6">
        <w:tc>
          <w:tcPr>
            <w:tcW w:w="388" w:type="pct"/>
            <w:shd w:val="clear" w:color="auto" w:fill="auto"/>
            <w:vAlign w:val="center"/>
          </w:tcPr>
          <w:p w14:paraId="25ED9EF6" w14:textId="77777777" w:rsidR="00F66B1F" w:rsidRPr="00E64F33" w:rsidRDefault="00F66B1F" w:rsidP="00B869A9">
            <w:pPr>
              <w:pStyle w:val="Akapitzlist"/>
              <w:numPr>
                <w:ilvl w:val="0"/>
                <w:numId w:val="31"/>
              </w:numPr>
              <w:spacing w:after="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27F81770" w14:textId="08FA2B60" w:rsidR="00F66B1F" w:rsidRPr="00E64F33" w:rsidRDefault="008E5B99" w:rsidP="00780C0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64F33">
              <w:rPr>
                <w:rFonts w:ascii="Arial" w:hAnsi="Arial" w:cs="Arial"/>
                <w:sz w:val="24"/>
                <w:szCs w:val="24"/>
              </w:rPr>
              <w:t>Liczba opiekunów faktycznych/nieformalnych objętych wsparciem w programie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73A7F5E2" w14:textId="195E026A" w:rsidR="00F66B1F" w:rsidRPr="00E64F33" w:rsidRDefault="00E6559C" w:rsidP="00E11C4A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osoby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0D90C2E9" w14:textId="3616EAAD" w:rsidR="00F66B1F" w:rsidRPr="00E64F33" w:rsidRDefault="00F66B1F" w:rsidP="00E11C4A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Wskaźnik produktu</w:t>
            </w:r>
          </w:p>
        </w:tc>
        <w:tc>
          <w:tcPr>
            <w:tcW w:w="1720" w:type="pct"/>
            <w:shd w:val="clear" w:color="auto" w:fill="auto"/>
          </w:tcPr>
          <w:p w14:paraId="148875DA" w14:textId="77777777" w:rsidR="00E90251" w:rsidRPr="00E64F33" w:rsidRDefault="00E90251" w:rsidP="00E9025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Wskaźnik obejmuje osoby, które otrzymały wsparcie w sprawowaniu opieki nad osobami potrzebującymi wsparcia w codziennym funkcjonowaniu, np. w postaci poradnictwa, pomocy psychologicznej, grup wsparcia, szkoleń, opieki </w:t>
            </w:r>
            <w:proofErr w:type="spellStart"/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wytchnieniowej</w:t>
            </w:r>
            <w:proofErr w:type="spellEnd"/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usług regeneracyjnych, czyli podtrzymujących lub przywracających zdolność sprawowania opieki. Daną osobę należy uwzględnić w wartości wskaźnika jednokrotnie niezależnie od liczby i rodzaju form wsparcia, które ta osoba uzyskała w ramach projektu.</w:t>
            </w:r>
          </w:p>
          <w:p w14:paraId="05921607" w14:textId="521DE105" w:rsidR="00F66B1F" w:rsidRPr="00E64F33" w:rsidRDefault="00E90251" w:rsidP="00E90251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Opiekuna faktycznego/nieformalnego należy rozumieć zgodnie z definicją wskazaną w wytycznych dotyczących realizacji projektów z udziałem środków EFS+ wydanych przez ministra właściwego ds. rozwoju regionalnego.</w:t>
            </w:r>
          </w:p>
        </w:tc>
      </w:tr>
      <w:tr w:rsidR="00F66B1F" w:rsidRPr="00F46040" w14:paraId="0ADFB70E" w14:textId="77777777" w:rsidTr="001341B6">
        <w:tc>
          <w:tcPr>
            <w:tcW w:w="388" w:type="pct"/>
            <w:shd w:val="clear" w:color="auto" w:fill="auto"/>
            <w:vAlign w:val="center"/>
          </w:tcPr>
          <w:p w14:paraId="043EE062" w14:textId="77777777" w:rsidR="00F66B1F" w:rsidRPr="00E64F33" w:rsidRDefault="00F66B1F" w:rsidP="00B869A9">
            <w:pPr>
              <w:pStyle w:val="Akapitzlist"/>
              <w:numPr>
                <w:ilvl w:val="0"/>
                <w:numId w:val="31"/>
              </w:numPr>
              <w:spacing w:after="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7B32C7F2" w14:textId="04044701" w:rsidR="00F66B1F" w:rsidRPr="00E64F33" w:rsidRDefault="00E6559C" w:rsidP="00780C0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64F33">
              <w:rPr>
                <w:rFonts w:ascii="Arial" w:hAnsi="Arial" w:cs="Arial"/>
                <w:sz w:val="24"/>
                <w:szCs w:val="24"/>
              </w:rPr>
              <w:t>Liczba osób objętych usługami świadczonymi w społeczności lokalnej w programie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662D7F87" w14:textId="213B254F" w:rsidR="00F66B1F" w:rsidRPr="00E64F33" w:rsidRDefault="00E6559C" w:rsidP="00E11C4A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osoby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7A825E8B" w14:textId="5AC4709F" w:rsidR="00F66B1F" w:rsidRPr="00E64F33" w:rsidRDefault="00E6559C" w:rsidP="00E11C4A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Wskaźnik produktu</w:t>
            </w:r>
          </w:p>
        </w:tc>
        <w:tc>
          <w:tcPr>
            <w:tcW w:w="1720" w:type="pct"/>
            <w:shd w:val="clear" w:color="auto" w:fill="auto"/>
          </w:tcPr>
          <w:p w14:paraId="296ED8D8" w14:textId="77777777" w:rsidR="00683637" w:rsidRPr="00E64F33" w:rsidRDefault="00683637" w:rsidP="0068363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Wskaźnik obejmuje osoby, które rozpoczęły udział w projektach przewidujących wsparcie w postaci usług społecznych lub zdrowotnych jako odbiorcy tych usług.</w:t>
            </w:r>
          </w:p>
          <w:p w14:paraId="349AEC4A" w14:textId="3A0E9D8B" w:rsidR="00683637" w:rsidRPr="00E64F33" w:rsidRDefault="00683637" w:rsidP="0068363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Usługi świadczone w społeczności lokalnej należy rozumieć  zgodnie z definicją wskazaną w wytycznych dotyczących realizacji projektów z udziałem środków EFS+ wydanych przez ministra właściwego ds. rozwoju regionalnego. </w:t>
            </w:r>
          </w:p>
          <w:p w14:paraId="59912B3D" w14:textId="2E7FD789" w:rsidR="00F66B1F" w:rsidRDefault="00683637" w:rsidP="006836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 wskaźniku nie są uwzględniane osoby objęte</w:t>
            </w:r>
            <w:r w:rsidRPr="00E64F33">
              <w:rPr>
                <w:rFonts w:ascii="Arial" w:hAnsi="Arial" w:cs="Arial"/>
                <w:sz w:val="24"/>
                <w:szCs w:val="24"/>
              </w:rPr>
              <w:t xml:space="preserve"> usługami w zakresie wspierania rodziny i pieczy zastępczej monitorowane we wskaźniku </w:t>
            </w:r>
            <w:r w:rsidR="006150A6">
              <w:rPr>
                <w:rFonts w:ascii="Arial" w:hAnsi="Arial" w:cs="Arial"/>
                <w:sz w:val="24"/>
                <w:szCs w:val="24"/>
              </w:rPr>
              <w:t>3</w:t>
            </w:r>
            <w:r w:rsidRPr="00E64F3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71E80A" w14:textId="712F650F" w:rsidR="00CC2B26" w:rsidRPr="00CC2B26" w:rsidRDefault="00CC2B26" w:rsidP="00683637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5125">
              <w:rPr>
                <w:rStyle w:val="cf01"/>
                <w:rFonts w:ascii="Arial" w:hAnsi="Arial" w:cs="Arial"/>
                <w:sz w:val="24"/>
                <w:szCs w:val="24"/>
              </w:rPr>
              <w:t>Liczba osób objętych usługami w zakresie wspierania rodziny i pieczy zastępczej</w:t>
            </w:r>
            <w:r w:rsidR="000004C8">
              <w:rPr>
                <w:rStyle w:val="cf01"/>
                <w:rFonts w:ascii="Arial" w:hAnsi="Arial" w:cs="Arial"/>
                <w:sz w:val="24"/>
                <w:szCs w:val="24"/>
              </w:rPr>
              <w:t xml:space="preserve"> (osoby).</w:t>
            </w:r>
          </w:p>
        </w:tc>
      </w:tr>
      <w:tr w:rsidR="009216A1" w:rsidRPr="00F46040" w14:paraId="731FB540" w14:textId="77777777" w:rsidTr="001341B6">
        <w:tc>
          <w:tcPr>
            <w:tcW w:w="388" w:type="pct"/>
            <w:shd w:val="clear" w:color="auto" w:fill="auto"/>
            <w:vAlign w:val="center"/>
          </w:tcPr>
          <w:p w14:paraId="69109573" w14:textId="77777777" w:rsidR="009216A1" w:rsidRPr="00E64F33" w:rsidRDefault="009216A1" w:rsidP="009216A1">
            <w:pPr>
              <w:pStyle w:val="Akapitzlist"/>
              <w:numPr>
                <w:ilvl w:val="0"/>
                <w:numId w:val="31"/>
              </w:numPr>
              <w:spacing w:after="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bookmarkStart w:id="0" w:name="_Hlk179965604"/>
          </w:p>
        </w:tc>
        <w:tc>
          <w:tcPr>
            <w:tcW w:w="1183" w:type="pct"/>
            <w:shd w:val="clear" w:color="auto" w:fill="auto"/>
            <w:vAlign w:val="center"/>
          </w:tcPr>
          <w:p w14:paraId="3C42424E" w14:textId="2A544244" w:rsidR="009216A1" w:rsidRPr="00E64F33" w:rsidRDefault="009216A1" w:rsidP="009216A1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216A1">
              <w:rPr>
                <w:rFonts w:ascii="Arial" w:hAnsi="Arial" w:cs="Arial"/>
                <w:sz w:val="24"/>
                <w:szCs w:val="24"/>
              </w:rPr>
              <w:t>Liczba osób objętych usługami w zakresie wspierania rodziny i pieczy zastępczej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54F688E5" w14:textId="7F77F4D8" w:rsidR="009216A1" w:rsidRPr="00E64F33" w:rsidRDefault="009216A1" w:rsidP="009216A1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osoby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10EE9BE0" w14:textId="37F90DB0" w:rsidR="009216A1" w:rsidRPr="00E64F33" w:rsidRDefault="009216A1" w:rsidP="009216A1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Wskaźnik produktu</w:t>
            </w:r>
          </w:p>
        </w:tc>
        <w:tc>
          <w:tcPr>
            <w:tcW w:w="1720" w:type="pct"/>
            <w:shd w:val="clear" w:color="auto" w:fill="auto"/>
          </w:tcPr>
          <w:p w14:paraId="6382C0EF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Wskaźnik obejmuje osoby, które otrzymały wsparcie w postaci usług wspierania rodziny i pieczy zastępczej w ramach projektu. </w:t>
            </w:r>
          </w:p>
          <w:p w14:paraId="2A308F4E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3F66E31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Usługi wspierania rodziny i pieczy zastępczej należy rozumieć zgodnie z definicją usług  świadczonych w społeczności lokalnej 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wskazaną w wytycznych ministra właściwego ds. rozwoju regionalnego (w tym m.in. usługi wspierania rodziny zgodnie z ustawą z dnia 9 czerwca 2011 r. o wspieraniu rodziny i systemie pieczy zastępczej; usługi dla dzieci i młodzieży w formach dziennych i środowiskowych; usługi </w:t>
            </w:r>
            <w:proofErr w:type="spellStart"/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preadopcyjne</w:t>
            </w:r>
            <w:proofErr w:type="spellEnd"/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postadopcyjne</w:t>
            </w:r>
            <w:proofErr w:type="spellEnd"/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 rodzinna piecza zastępcza, rodzinne domy dziecka oraz placówki opiekuńczo-wychowawcze typu rodzinnego, o których mowa w ustawie z dnia 9 czerwca 2011 r. o wspieraniu rodziny i systemie pieczy zastępczej, a także usługi dla kandydatów do pełnienia funkcji rodzinnych form pieczy zastępczej).</w:t>
            </w:r>
          </w:p>
          <w:p w14:paraId="3FEE12E3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B575413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Wskaźnik mierzony w momencie objęcia danej osoby usługami w zakresie wspierania rodziny i pieczy zastępczej jakie zostały przewidziane w projekcie. Jedna osoba wykazywana jest raz w ramach wskaźnika w projekcie, niezależnie od liczby form wsparcia, z których skorzystała.</w:t>
            </w:r>
          </w:p>
          <w:p w14:paraId="50412CED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CDE9C52" w14:textId="6F6559A2" w:rsidR="009216A1" w:rsidRPr="00E64F33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Wskaźnik wykorzystywany w celu szczegółowym k) w przypadku projektów obejmujących zintegrowane usługi (w tym w projektach, w których wsparcie realizowane jest w przez Centrum Usług Społecznych), tj. zarówno usługi społeczne przewidziane dla celu szczegółowego k) oraz usługi wsparcia rodziny i systemu pieczy zastępczej realizowane co do zasady w celu szczegółowym l), jak też w przypadku realizacji tego wsparcia w celu k).</w:t>
            </w:r>
          </w:p>
        </w:tc>
      </w:tr>
      <w:tr w:rsidR="00142E6B" w:rsidRPr="00F46040" w14:paraId="1D5E3657" w14:textId="77777777" w:rsidTr="001341B6">
        <w:tc>
          <w:tcPr>
            <w:tcW w:w="388" w:type="pct"/>
            <w:shd w:val="clear" w:color="auto" w:fill="auto"/>
            <w:vAlign w:val="center"/>
          </w:tcPr>
          <w:p w14:paraId="541FDFC4" w14:textId="77777777" w:rsidR="00142E6B" w:rsidRPr="00E64F33" w:rsidRDefault="00142E6B" w:rsidP="00B869A9">
            <w:pPr>
              <w:pStyle w:val="Akapitzlist"/>
              <w:numPr>
                <w:ilvl w:val="0"/>
                <w:numId w:val="31"/>
              </w:numPr>
              <w:spacing w:after="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bookmarkStart w:id="1" w:name="_Hlk179966079"/>
            <w:bookmarkEnd w:id="0"/>
          </w:p>
        </w:tc>
        <w:tc>
          <w:tcPr>
            <w:tcW w:w="1183" w:type="pct"/>
            <w:shd w:val="clear" w:color="auto" w:fill="auto"/>
            <w:vAlign w:val="center"/>
          </w:tcPr>
          <w:p w14:paraId="65D83885" w14:textId="1ADEB490" w:rsidR="00142E6B" w:rsidRPr="00E64F33" w:rsidRDefault="004C4368" w:rsidP="00780C05">
            <w:pPr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  <w:r w:rsidRPr="00E64F33">
              <w:rPr>
                <w:rFonts w:ascii="Arial" w:hAnsi="Arial" w:cs="Arial"/>
                <w:sz w:val="24"/>
                <w:szCs w:val="24"/>
              </w:rPr>
              <w:t>Liczba osób, które opuściły opiekę instytucjonalną dzięki wsparciu w programie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32FD29BF" w14:textId="1A2E4977" w:rsidR="00142E6B" w:rsidRPr="00E64F33" w:rsidRDefault="00F830B5" w:rsidP="00E11C4A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osoby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3EEEF0E6" w14:textId="77777777" w:rsidR="00207989" w:rsidRPr="00E64F33" w:rsidRDefault="00207989" w:rsidP="00207989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Wskaźnik rezultatu</w:t>
            </w:r>
          </w:p>
          <w:p w14:paraId="35375FA6" w14:textId="6F9C7301" w:rsidR="00142E6B" w:rsidRPr="00E64F33" w:rsidRDefault="00207989" w:rsidP="00207989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bezpośredniego</w:t>
            </w:r>
          </w:p>
        </w:tc>
        <w:tc>
          <w:tcPr>
            <w:tcW w:w="1720" w:type="pct"/>
            <w:shd w:val="clear" w:color="auto" w:fill="auto"/>
          </w:tcPr>
          <w:p w14:paraId="50B99F9C" w14:textId="5689EABE" w:rsidR="006B33BD" w:rsidRPr="00E64F33" w:rsidRDefault="002147A3" w:rsidP="006B33BD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Wskaźnik obejmuje osoby </w:t>
            </w:r>
            <w:r w:rsidR="006B33BD"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dorosłe, które dzięki udziałowi w projekcie opuściły instytucje całodobowej opieki i korzystają z usług świadczonych w społeczności lokalnej.</w:t>
            </w:r>
          </w:p>
          <w:p w14:paraId="7C2D0380" w14:textId="77777777" w:rsidR="006B33BD" w:rsidRPr="00E64F33" w:rsidRDefault="006B33BD" w:rsidP="006B33BD">
            <w:pPr>
              <w:spacing w:after="12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Definicje opieki instytucjonalnej oraz usług świadczonych w społeczności lokalnej należy rozumieć zgodnie z definicjami wskazanymi w wytycznych ministra właściwego ds. rozwoju regionalnego.</w:t>
            </w:r>
          </w:p>
          <w:p w14:paraId="65EC51EA" w14:textId="77777777" w:rsidR="006B33BD" w:rsidRPr="00E64F33" w:rsidRDefault="006B33BD" w:rsidP="006B33BD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Wskaźnik mierzony w ciągu 4 tygodni od zakończenia projektu. </w:t>
            </w: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Obowiązek weryfikacji wartości wskaźnika należy do instytucji podpisującej umowę z beneficjentem.</w:t>
            </w:r>
          </w:p>
          <w:p w14:paraId="285D4649" w14:textId="57B43859" w:rsidR="00142E6B" w:rsidRPr="00E64F33" w:rsidRDefault="006B33BD" w:rsidP="006B33B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We wskaźniku nie są uwzględniane dzieci i młodzież monitorowane we wskaźniku </w:t>
            </w:r>
            <w:r w:rsidR="003036CF">
              <w:rPr>
                <w:rStyle w:val="Odwoaniedokomentarza"/>
              </w:rPr>
              <w:t xml:space="preserve"> </w:t>
            </w:r>
            <w:r w:rsidR="003036CF" w:rsidRPr="00445125">
              <w:rPr>
                <w:rStyle w:val="cf01"/>
                <w:rFonts w:ascii="Arial" w:hAnsi="Arial" w:cs="Arial"/>
                <w:sz w:val="24"/>
                <w:szCs w:val="24"/>
              </w:rPr>
              <w:t>Liczba dzieci i młodzieży, które opuściły opiekę instytucjonalną dzięki wsparciu w programie</w:t>
            </w:r>
            <w:r w:rsidR="003036CF" w:rsidRPr="00F26390">
              <w:rPr>
                <w:rStyle w:val="cf01"/>
                <w:rFonts w:ascii="Arial" w:hAnsi="Arial" w:cs="Arial"/>
                <w:sz w:val="24"/>
                <w:szCs w:val="24"/>
              </w:rPr>
              <w:t xml:space="preserve"> </w:t>
            </w:r>
            <w:r w:rsidR="008A12A5" w:rsidRPr="00F26390">
              <w:rPr>
                <w:rStyle w:val="cf01"/>
                <w:rFonts w:ascii="Arial" w:hAnsi="Arial" w:cs="Arial"/>
                <w:sz w:val="24"/>
                <w:szCs w:val="24"/>
              </w:rPr>
              <w:t>(osoby).</w:t>
            </w:r>
          </w:p>
        </w:tc>
      </w:tr>
      <w:tr w:rsidR="004C4368" w:rsidRPr="00F46040" w14:paraId="5057A520" w14:textId="77777777" w:rsidTr="001341B6">
        <w:tc>
          <w:tcPr>
            <w:tcW w:w="388" w:type="pct"/>
            <w:shd w:val="clear" w:color="auto" w:fill="auto"/>
            <w:vAlign w:val="center"/>
          </w:tcPr>
          <w:p w14:paraId="227B355C" w14:textId="77777777" w:rsidR="004C4368" w:rsidRPr="00E64F33" w:rsidRDefault="004C4368" w:rsidP="00B869A9">
            <w:pPr>
              <w:pStyle w:val="Akapitzlist"/>
              <w:numPr>
                <w:ilvl w:val="0"/>
                <w:numId w:val="31"/>
              </w:numPr>
              <w:spacing w:after="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bookmarkStart w:id="2" w:name="_Hlk179966437"/>
            <w:bookmarkEnd w:id="1"/>
          </w:p>
        </w:tc>
        <w:tc>
          <w:tcPr>
            <w:tcW w:w="1183" w:type="pct"/>
            <w:shd w:val="clear" w:color="auto" w:fill="auto"/>
            <w:vAlign w:val="center"/>
          </w:tcPr>
          <w:p w14:paraId="6BBABDAC" w14:textId="11BFA1C8" w:rsidR="004C4368" w:rsidRPr="00E64F33" w:rsidRDefault="00610304" w:rsidP="00780C0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64F33">
              <w:rPr>
                <w:rFonts w:ascii="Arial" w:hAnsi="Arial" w:cs="Arial"/>
                <w:sz w:val="24"/>
                <w:szCs w:val="24"/>
              </w:rPr>
              <w:t>Liczba osób świadczących usługi w społeczności lokalnej dzięki wsparciu w programie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760B529D" w14:textId="723FCA57" w:rsidR="004C4368" w:rsidRPr="00E64F33" w:rsidRDefault="00207989" w:rsidP="00E11C4A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osoby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64460675" w14:textId="77777777" w:rsidR="00F66B1F" w:rsidRPr="00E64F33" w:rsidRDefault="00F66B1F" w:rsidP="00F66B1F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Wskaźnik rezultatu</w:t>
            </w:r>
          </w:p>
          <w:p w14:paraId="2B6D36DD" w14:textId="6D72AAA4" w:rsidR="004C4368" w:rsidRPr="00E64F33" w:rsidRDefault="00F66B1F" w:rsidP="00F66B1F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bezpośredniego</w:t>
            </w:r>
          </w:p>
        </w:tc>
        <w:tc>
          <w:tcPr>
            <w:tcW w:w="1720" w:type="pct"/>
            <w:shd w:val="clear" w:color="auto" w:fill="auto"/>
          </w:tcPr>
          <w:p w14:paraId="37915A62" w14:textId="77777777" w:rsidR="00C85EAC" w:rsidRPr="00E64F33" w:rsidRDefault="00C85EAC" w:rsidP="00C85EAC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Wskaźnik obejmuje osoby, które świadczą lub są gotowe do świadczenia usług społecznych lub usług zdrowotnych w społeczności lokalnej po zakończeniu projektu, dzięki wsparciu EFS+.</w:t>
            </w:r>
          </w:p>
          <w:p w14:paraId="5E453B70" w14:textId="77777777" w:rsidR="00C85EAC" w:rsidRDefault="00C85EAC" w:rsidP="00C85EAC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Wskaźnik obejmuje osoby, które świadczą usługi niestacjonarnie (tj. nie w ramach placówek/ośrodków/mieszkań wspomaganych itp.), w tym m.in. osoby świadczące usługi opiekuńcze, specjalistyczne usługi opiekuńcze lub pielęgnacyjne w miejscu zamieszkania, osoby świadczące usługi asystenckie, opiekunów faktycznych.</w:t>
            </w:r>
          </w:p>
          <w:p w14:paraId="73D091AA" w14:textId="77777777" w:rsidR="0081682B" w:rsidRPr="0081682B" w:rsidRDefault="0081682B" w:rsidP="0081682B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168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 wskaźniku należy wykazywać:</w:t>
            </w:r>
          </w:p>
          <w:p w14:paraId="23712F5B" w14:textId="77777777" w:rsidR="0081682B" w:rsidRPr="0081682B" w:rsidRDefault="0081682B" w:rsidP="0081682B">
            <w:pPr>
              <w:numPr>
                <w:ilvl w:val="0"/>
                <w:numId w:val="47"/>
              </w:num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168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osoby, które w ramach projektu zostały przygotowane do świadczenia usług społecznych lub zdrowotnych (poprzez np. kurs lub szkolenie) oraz świadczą je po projekcie lub </w:t>
            </w:r>
          </w:p>
          <w:p w14:paraId="498D2C3D" w14:textId="70AB6B62" w:rsidR="0081682B" w:rsidRPr="0081682B" w:rsidRDefault="0081682B" w:rsidP="00C85EAC">
            <w:pPr>
              <w:numPr>
                <w:ilvl w:val="0"/>
                <w:numId w:val="47"/>
              </w:num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168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osoby, które po projekcie i dzięki realizacji projektu realizują usługi społeczne lub zdrowotne w nowym zakresie (w jakim nie realizowały ich przed projektem), w tym także osoby, które świadczyły usługi nieformalnie, a dzięki realizacji wsparcia, realizują je formalnie. </w:t>
            </w:r>
          </w:p>
          <w:p w14:paraId="21062FBA" w14:textId="77777777" w:rsidR="00C85EAC" w:rsidRPr="00E64F33" w:rsidRDefault="00C85EAC" w:rsidP="00C85EAC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Wskaźnik mierzony w ciągu 4 tygodni od zakończenia projektu. Obowiązek weryfikacji wartości wskaźnika należy do instytucji podpisującej umowę z beneficjentem.</w:t>
            </w:r>
          </w:p>
          <w:p w14:paraId="17DE906F" w14:textId="1CF4DC63" w:rsidR="004C4368" w:rsidRPr="00E64F33" w:rsidRDefault="00C85EAC" w:rsidP="00C85EAC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 wskaźniku nie są uwzględniane osoby świadczące usługi wspierania rodziny i pieczy zastępczej</w:t>
            </w:r>
            <w:r w:rsidR="00441C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4C4368" w:rsidRPr="00F46040" w14:paraId="20E6C20D" w14:textId="77777777" w:rsidTr="001341B6">
        <w:tc>
          <w:tcPr>
            <w:tcW w:w="388" w:type="pct"/>
            <w:shd w:val="clear" w:color="auto" w:fill="auto"/>
            <w:vAlign w:val="center"/>
          </w:tcPr>
          <w:p w14:paraId="552571C4" w14:textId="77777777" w:rsidR="004C4368" w:rsidRPr="00E64F33" w:rsidRDefault="004C4368" w:rsidP="00B869A9">
            <w:pPr>
              <w:pStyle w:val="Akapitzlist"/>
              <w:numPr>
                <w:ilvl w:val="0"/>
                <w:numId w:val="31"/>
              </w:numPr>
              <w:spacing w:after="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bookmarkStart w:id="3" w:name="_Hlk179966566"/>
            <w:bookmarkEnd w:id="2"/>
          </w:p>
        </w:tc>
        <w:tc>
          <w:tcPr>
            <w:tcW w:w="1183" w:type="pct"/>
            <w:shd w:val="clear" w:color="auto" w:fill="auto"/>
            <w:vAlign w:val="center"/>
          </w:tcPr>
          <w:p w14:paraId="188A461F" w14:textId="150953F7" w:rsidR="004C4368" w:rsidRPr="00E64F33" w:rsidRDefault="00AA3247" w:rsidP="00780C0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64F33">
              <w:rPr>
                <w:rFonts w:ascii="Arial" w:hAnsi="Arial" w:cs="Arial"/>
                <w:sz w:val="24"/>
                <w:szCs w:val="24"/>
              </w:rPr>
              <w:t xml:space="preserve">Liczba podmiotów, które </w:t>
            </w:r>
            <w:r w:rsidRPr="00E64F33">
              <w:rPr>
                <w:rFonts w:ascii="Arial" w:hAnsi="Arial" w:cs="Arial"/>
                <w:sz w:val="24"/>
                <w:szCs w:val="24"/>
              </w:rPr>
              <w:lastRenderedPageBreak/>
              <w:t>rozszerzyły ofertę wsparcia lub podniosły jakość oferowanych usług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0BB0C58B" w14:textId="5E4159F5" w:rsidR="004C4368" w:rsidRPr="00E64F33" w:rsidRDefault="00677C03" w:rsidP="00E11C4A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lastRenderedPageBreak/>
              <w:t>podmioty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144263F1" w14:textId="77777777" w:rsidR="00207989" w:rsidRPr="00E64F33" w:rsidRDefault="00207989" w:rsidP="00207989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Wskaźnik rezultatu</w:t>
            </w:r>
          </w:p>
          <w:p w14:paraId="17971467" w14:textId="5200E399" w:rsidR="004C4368" w:rsidRPr="00E64F33" w:rsidRDefault="00207989" w:rsidP="00207989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lastRenderedPageBreak/>
              <w:t>bezpośredniego</w:t>
            </w:r>
          </w:p>
        </w:tc>
        <w:tc>
          <w:tcPr>
            <w:tcW w:w="1720" w:type="pct"/>
            <w:shd w:val="clear" w:color="auto" w:fill="auto"/>
          </w:tcPr>
          <w:p w14:paraId="1BC26055" w14:textId="77777777" w:rsidR="00CF464B" w:rsidRPr="00E64F33" w:rsidRDefault="00CF464B" w:rsidP="00CF464B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Wskaźnik obejmuje podmioty, które świadczą </w:t>
            </w: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usługi społeczne lub usługi zdrowotne w formie stacjonarnej, istniejące przed projektem, które dzięki wsparciu EFS+ rozszerzyły ofertę wsparcia lub podniosły jakość oferowanych usług.</w:t>
            </w:r>
          </w:p>
          <w:p w14:paraId="0AF667F6" w14:textId="77777777" w:rsidR="00CF464B" w:rsidRPr="00E64F33" w:rsidRDefault="00CF464B" w:rsidP="00CF464B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Przez rozszerzenie oferty wsparcia należy rozumieć w szczególności sytuację, gdy po zakończeniu realizacji projektu dany podmiot oferuje szerszy katalog świadczonych usług niż w momencie rozpoczęcia projektu. Rozszerzona oferta może dotyczyć wyłącznie usług świadczonych w społeczności lokalnej. Podniesienie jakości oferowanych usług należy rozumieć natomiast jako w szczególności sytuację, gdy osoby świadczące usługi w danym podmiocie dzięki udziałowi w projekcie wzięły udział w kursach i szkoleniach mających na celu podniesienie standardu wykonywanych usług. </w:t>
            </w:r>
          </w:p>
          <w:p w14:paraId="36161EE2" w14:textId="2D7B6D25" w:rsidR="00CF464B" w:rsidRPr="00E64F33" w:rsidRDefault="00CF464B" w:rsidP="00CF464B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 wskaźniku nie należy wykazywać nowo utworzonych w ramach projektu miejsc świadczenia usług.</w:t>
            </w:r>
          </w:p>
          <w:p w14:paraId="1689873A" w14:textId="5CC39EFC" w:rsidR="00CF464B" w:rsidRPr="00E64F33" w:rsidRDefault="00CF464B" w:rsidP="00CF464B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Wskaźnik mierzony w ciągu 4 tygodni od </w:t>
            </w: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zakończenia projektu. Obowiązek weryfikacji wartości wskaźnika należy do instytucji podpisującej umowę z beneficjentem. </w:t>
            </w:r>
          </w:p>
          <w:p w14:paraId="19F68205" w14:textId="351580C8" w:rsidR="004C4368" w:rsidRPr="00E64F33" w:rsidRDefault="00CF464B" w:rsidP="00CF464B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 wskaźniku nie są uwzględniane podmioty świadczące usługi wspierania rodziny i pieczy zastępczej.</w:t>
            </w:r>
          </w:p>
        </w:tc>
      </w:tr>
      <w:tr w:rsidR="004C4368" w:rsidRPr="00F46040" w14:paraId="50C0DCF2" w14:textId="77777777" w:rsidTr="001341B6">
        <w:tc>
          <w:tcPr>
            <w:tcW w:w="388" w:type="pct"/>
            <w:shd w:val="clear" w:color="auto" w:fill="auto"/>
            <w:vAlign w:val="center"/>
          </w:tcPr>
          <w:p w14:paraId="4891CF5B" w14:textId="77777777" w:rsidR="004C4368" w:rsidRPr="00E64F33" w:rsidRDefault="004C4368" w:rsidP="00B869A9">
            <w:pPr>
              <w:pStyle w:val="Akapitzlist"/>
              <w:numPr>
                <w:ilvl w:val="0"/>
                <w:numId w:val="31"/>
              </w:numPr>
              <w:spacing w:after="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bookmarkStart w:id="4" w:name="_Hlk179966704"/>
            <w:bookmarkEnd w:id="3"/>
          </w:p>
        </w:tc>
        <w:tc>
          <w:tcPr>
            <w:tcW w:w="1183" w:type="pct"/>
            <w:shd w:val="clear" w:color="auto" w:fill="auto"/>
            <w:vAlign w:val="center"/>
          </w:tcPr>
          <w:p w14:paraId="1CCCA543" w14:textId="40B05B11" w:rsidR="004C4368" w:rsidRPr="00E64F33" w:rsidRDefault="00846224" w:rsidP="00780C0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64F33">
              <w:rPr>
                <w:rFonts w:ascii="Arial" w:hAnsi="Arial" w:cs="Arial"/>
                <w:sz w:val="24"/>
                <w:szCs w:val="24"/>
              </w:rPr>
              <w:t>Liczba utworzonych miejsc świadczenia usług w społeczności lokalnej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71ECAE97" w14:textId="03A3FE6D" w:rsidR="004C4368" w:rsidRPr="00E64F33" w:rsidRDefault="00E64F33" w:rsidP="00E11C4A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sztuki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47FD05B2" w14:textId="77777777" w:rsidR="00677C03" w:rsidRPr="00E64F33" w:rsidRDefault="00677C03" w:rsidP="00677C03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Wskaźnik rezultatu</w:t>
            </w:r>
          </w:p>
          <w:p w14:paraId="1FF2B9FD" w14:textId="50D063B7" w:rsidR="004C4368" w:rsidRPr="00E64F33" w:rsidRDefault="00677C03" w:rsidP="00677C03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bezpośredniego</w:t>
            </w:r>
          </w:p>
        </w:tc>
        <w:tc>
          <w:tcPr>
            <w:tcW w:w="1720" w:type="pct"/>
            <w:shd w:val="clear" w:color="auto" w:fill="auto"/>
          </w:tcPr>
          <w:p w14:paraId="0624B4B1" w14:textId="77777777" w:rsidR="00E64F33" w:rsidRPr="00E64F33" w:rsidRDefault="00E64F33" w:rsidP="00E64F3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Wskaźnik obejmuje nowo utworzone dzięki wsparciu EFS+ miejsca stacjonarnego świadczenia usług społecznych lub zdrowotnych w społeczności lokalnej. </w:t>
            </w:r>
          </w:p>
          <w:p w14:paraId="4934AAE4" w14:textId="77777777" w:rsidR="00E64F33" w:rsidRPr="00E64F33" w:rsidRDefault="00E64F33" w:rsidP="00E64F3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Liczbę miejsc należy monitorować jako potencjał danej placówki/ośrodka/mieszkania itp. do świadczenia usług, tj. liczbę osób, które mogą w tym samym momencie jednocześnie skorzystać z oferowanych usług (a nie miejsce jako obiekt, w którym dana usługa jest świadczona). </w:t>
            </w:r>
          </w:p>
          <w:p w14:paraId="048CB656" w14:textId="77777777" w:rsidR="00E64F33" w:rsidRPr="00E64F33" w:rsidRDefault="00E64F33" w:rsidP="00E64F3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Przykład: w przypadku utworzonego w projekcie mieszkania wspomaganego, mogącego jednocześnie przyjąć 5 osób, należy wykazać 5 utworzonych miejsc świadczenia usług.</w:t>
            </w:r>
          </w:p>
          <w:p w14:paraId="253BBBFD" w14:textId="77777777" w:rsidR="00E64F33" w:rsidRPr="00E64F33" w:rsidRDefault="00E64F33" w:rsidP="00E64F3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 wsparcia istniejących wcześniej placówek świadczenia </w:t>
            </w: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usług do wskaźnika zliczane są wyłącznie nowe miejsca utworzone dzięki wsparciu EFS+. </w:t>
            </w:r>
          </w:p>
          <w:p w14:paraId="7FA79BF8" w14:textId="77777777" w:rsidR="00E64F33" w:rsidRPr="00E64F33" w:rsidRDefault="00E64F33" w:rsidP="00E64F3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Wskaźnik mierzony w ciągu 4 tygodni od zakończenia projektu.  Obowiązek weryfikacji wartości wskaźnika należy do instytucji podpisującej umowę z beneficjentem.</w:t>
            </w:r>
          </w:p>
          <w:p w14:paraId="3DD5DE60" w14:textId="5EF984B8" w:rsidR="004C4368" w:rsidRPr="00E64F33" w:rsidRDefault="00E64F33" w:rsidP="00E64F3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4F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We wskaźniku nie są uwzględniane miejsca świadczenia usług wspierania rodziny i pieczy zastępczej monitorowane we wskaźniku </w:t>
            </w:r>
            <w:r w:rsidR="00015F32">
              <w:rPr>
                <w:rStyle w:val="Odwoaniedokomentarza"/>
              </w:rPr>
              <w:t xml:space="preserve"> </w:t>
            </w:r>
            <w:r w:rsidR="00015F32" w:rsidRPr="00445125">
              <w:rPr>
                <w:rStyle w:val="cf01"/>
                <w:rFonts w:ascii="Arial" w:hAnsi="Arial" w:cs="Arial"/>
                <w:sz w:val="24"/>
                <w:szCs w:val="24"/>
              </w:rPr>
              <w:t>Liczba utworzonych w programie miejsc świadczenia usług wspierania rodziny i pieczy zastępczej istniejących po zakończeniu projektu</w:t>
            </w:r>
            <w:r w:rsidR="008A12A5">
              <w:rPr>
                <w:rStyle w:val="cf01"/>
              </w:rPr>
              <w:t xml:space="preserve"> </w:t>
            </w:r>
            <w:r w:rsidR="008A12A5" w:rsidRPr="00653D57">
              <w:rPr>
                <w:rStyle w:val="cf01"/>
                <w:rFonts w:ascii="Arial" w:hAnsi="Arial" w:cs="Arial"/>
                <w:sz w:val="24"/>
                <w:szCs w:val="24"/>
              </w:rPr>
              <w:t>(sztuki)</w:t>
            </w:r>
            <w:r w:rsidR="00EB5D71" w:rsidRPr="00653D57">
              <w:rPr>
                <w:rStyle w:val="cf01"/>
                <w:rFonts w:ascii="Arial" w:hAnsi="Arial" w:cs="Arial"/>
                <w:sz w:val="24"/>
                <w:szCs w:val="24"/>
              </w:rPr>
              <w:t>.</w:t>
            </w:r>
          </w:p>
        </w:tc>
      </w:tr>
      <w:bookmarkEnd w:id="4"/>
      <w:tr w:rsidR="009216A1" w:rsidRPr="00F46040" w14:paraId="257C3846" w14:textId="77777777" w:rsidTr="001341B6">
        <w:tc>
          <w:tcPr>
            <w:tcW w:w="388" w:type="pct"/>
            <w:shd w:val="clear" w:color="auto" w:fill="auto"/>
            <w:vAlign w:val="center"/>
          </w:tcPr>
          <w:p w14:paraId="2744BA21" w14:textId="77777777" w:rsidR="009216A1" w:rsidRPr="00E64F33" w:rsidRDefault="009216A1" w:rsidP="009216A1">
            <w:pPr>
              <w:pStyle w:val="Akapitzlist"/>
              <w:numPr>
                <w:ilvl w:val="0"/>
                <w:numId w:val="31"/>
              </w:numPr>
              <w:spacing w:after="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12A552F7" w14:textId="5A2536E6" w:rsidR="009216A1" w:rsidRPr="00E64F33" w:rsidRDefault="009216A1" w:rsidP="009216A1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216A1">
              <w:rPr>
                <w:rFonts w:ascii="Arial" w:hAnsi="Arial" w:cs="Arial"/>
                <w:sz w:val="24"/>
                <w:szCs w:val="24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6B6C9270" w14:textId="1FEF84C8" w:rsidR="009216A1" w:rsidRPr="00E64F33" w:rsidRDefault="009216A1" w:rsidP="009216A1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sztuki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42C5A3F4" w14:textId="77777777" w:rsidR="009216A1" w:rsidRPr="00E64F33" w:rsidRDefault="009216A1" w:rsidP="009216A1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Wskaźnik rezultatu</w:t>
            </w:r>
          </w:p>
          <w:p w14:paraId="3F3AC22E" w14:textId="332FA36E" w:rsidR="009216A1" w:rsidRPr="00E64F33" w:rsidRDefault="009216A1" w:rsidP="009216A1">
            <w:pPr>
              <w:spacing w:before="60" w:after="6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64F33">
              <w:rPr>
                <w:rFonts w:ascii="Arial" w:hAnsi="Arial" w:cs="Arial"/>
                <w:iCs/>
                <w:sz w:val="24"/>
                <w:szCs w:val="24"/>
              </w:rPr>
              <w:t>bezpośredniego</w:t>
            </w:r>
          </w:p>
        </w:tc>
        <w:tc>
          <w:tcPr>
            <w:tcW w:w="1720" w:type="pct"/>
            <w:shd w:val="clear" w:color="auto" w:fill="auto"/>
          </w:tcPr>
          <w:p w14:paraId="1108178D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5" w:name="_Hlk179966821"/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świadczonych usług określony jest w wytycznych ministra właściwego ds. rozwoju regionalnego.</w:t>
            </w:r>
          </w:p>
          <w:p w14:paraId="7E7C261B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Wskaźnik mierzy liczbę nowoutworzonych miejsc świadczenia usług wsparcia rodziny i pieczy zastępczej: </w:t>
            </w:r>
          </w:p>
          <w:p w14:paraId="7BCEC840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 xml:space="preserve">liczbę asystentów rodziny, </w:t>
            </w:r>
          </w:p>
          <w:p w14:paraId="46E53590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 xml:space="preserve">odnośnie konsultacji i poradnictwa specjalistycznego, interwencji kryzysowej, terapii i mediacji, usług dla 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rodzin z dziećmi, pomocy prawnej – liczbę specjalistów np. pedagogów, psychologów,</w:t>
            </w:r>
          </w:p>
          <w:p w14:paraId="6244A7F5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liczbę grup samopomocowych i grup wsparcia,</w:t>
            </w:r>
          </w:p>
          <w:p w14:paraId="7EEC4940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liczbę miejsc w placówkach wsparcia dziennego (w przypadku pracy podwórkowej – liczbę wychowawców),</w:t>
            </w:r>
          </w:p>
          <w:p w14:paraId="49C327FE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liczbę rodzin wspierających,</w:t>
            </w:r>
          </w:p>
          <w:p w14:paraId="5EE20BF8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liczbę rodzin zastępczych (spokrewnionych, niezawodowych),</w:t>
            </w:r>
          </w:p>
          <w:p w14:paraId="20F21AFD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liczbę rodzin-kandydatów na rodziny zastępcze (spokrewnione, niezawodowe),</w:t>
            </w:r>
          </w:p>
          <w:p w14:paraId="030212FD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liczbę miejsc w rodzinach zastępczych zawodowych,</w:t>
            </w:r>
          </w:p>
          <w:p w14:paraId="019F146F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maksymalną liczbę miejsc możliwych do utworzenia w rodzinie-kandydacie na rodzinę zastępczą zawodową,</w:t>
            </w:r>
          </w:p>
          <w:p w14:paraId="4EDF935C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liczbę koordynatorów rodzinnej pieczy zastępczej,</w:t>
            </w:r>
          </w:p>
          <w:p w14:paraId="72250143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</w:t>
            </w: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liczbę miejsc w rodzinnych domach dziecka i placówkach opiekuńczo-wychowawczych typu rodzinnego.</w:t>
            </w:r>
          </w:p>
          <w:p w14:paraId="10AE5410" w14:textId="77777777" w:rsidR="009216A1" w:rsidRPr="009216A1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Wskaźnik mierzony w ciągu 4 tygodni od zakończenia projektu.</w:t>
            </w:r>
          </w:p>
          <w:p w14:paraId="4C384357" w14:textId="0ADBB2DF" w:rsidR="009216A1" w:rsidRPr="00E64F33" w:rsidRDefault="009216A1" w:rsidP="009216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16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Wskaźnik wykorzystywany w celu szczegółowym k) w przypadku projektów obejmujących zintegrowane usługi (w tym w projektach, w których wsparcie realizowane jest w przez Centrum Usług Społecznych), tj. zarówno usługi społeczne przewidziane dla celu szczegółowego k) oraz usługi wsparcia rodziny i systemu pieczy zastępczej realizowane co do zasady w celu szczegółowym l), jak też w przypadku realizacji tego wsparcia w celu k).</w:t>
            </w:r>
            <w:bookmarkEnd w:id="5"/>
          </w:p>
        </w:tc>
      </w:tr>
    </w:tbl>
    <w:p w14:paraId="6E7553AD" w14:textId="08ED77B3" w:rsidR="00E14171" w:rsidRDefault="00E14171" w:rsidP="007D5BB0">
      <w:pPr>
        <w:spacing w:after="240"/>
        <w:rPr>
          <w:rFonts w:ascii="Arial" w:hAnsi="Arial" w:cs="Arial"/>
          <w:sz w:val="24"/>
          <w:szCs w:val="24"/>
          <w:shd w:val="clear" w:color="auto" w:fill="FFFFFF"/>
        </w:rPr>
      </w:pPr>
    </w:p>
    <w:p w14:paraId="3F25747D" w14:textId="5879DC37" w:rsidR="00F01F0B" w:rsidRPr="00236549" w:rsidRDefault="00F01F0B" w:rsidP="00F01F0B">
      <w:pPr>
        <w:spacing w:before="240" w:after="0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t>Dodatkowo, wnioskodawca zobowiązany jest wskazać we wniosku o dofinansowanie projektu na etapie aplikowania</w:t>
      </w:r>
      <w:r w:rsidR="009A0610">
        <w:rPr>
          <w:rFonts w:ascii="Arial" w:hAnsi="Arial" w:cs="Arial"/>
          <w:iCs/>
          <w:sz w:val="24"/>
          <w:szCs w:val="24"/>
        </w:rPr>
        <w:t xml:space="preserve"> </w:t>
      </w:r>
      <w:r w:rsidR="009A0610" w:rsidRPr="009A0610">
        <w:rPr>
          <w:rFonts w:ascii="Arial" w:hAnsi="Arial" w:cs="Arial"/>
          <w:iCs/>
          <w:sz w:val="24"/>
          <w:szCs w:val="24"/>
        </w:rPr>
        <w:t>(wraz ze wskazaniem sposobu pomiaru i źródła pomiaru wskaźnika)</w:t>
      </w:r>
      <w:r w:rsidRPr="00236549">
        <w:rPr>
          <w:rFonts w:ascii="Arial" w:hAnsi="Arial" w:cs="Arial"/>
          <w:iCs/>
          <w:sz w:val="24"/>
          <w:szCs w:val="24"/>
        </w:rPr>
        <w:t xml:space="preserve">, a następnie monitorować </w:t>
      </w:r>
      <w:bookmarkStart w:id="6" w:name="_Hlk129251206"/>
      <w:r w:rsidRPr="00236549">
        <w:rPr>
          <w:rFonts w:ascii="Arial" w:hAnsi="Arial" w:cs="Arial"/>
          <w:iCs/>
          <w:sz w:val="24"/>
          <w:szCs w:val="24"/>
        </w:rPr>
        <w:t xml:space="preserve">na podstawie składanych wniosków o płatność </w:t>
      </w:r>
      <w:bookmarkEnd w:id="6"/>
      <w:r w:rsidRPr="00236549">
        <w:rPr>
          <w:rFonts w:ascii="Arial" w:hAnsi="Arial" w:cs="Arial"/>
          <w:iCs/>
          <w:sz w:val="24"/>
          <w:szCs w:val="24"/>
        </w:rPr>
        <w:t xml:space="preserve">(zgodnie z Wytycznymi dotyczącymi monitorowania postępu rzeczowego realizacji programów operacyjnych na lata 2021-2027) na etapie realizacji projektu wszystkie wymienione poniżej wskaźniki kluczowe określone dla wszystkich celów szczegółowych tj. </w:t>
      </w:r>
    </w:p>
    <w:p w14:paraId="1AF2BFD8" w14:textId="77777777" w:rsidR="00F01F0B" w:rsidRPr="00236549" w:rsidRDefault="00F01F0B" w:rsidP="00F01F0B">
      <w:pPr>
        <w:pStyle w:val="Akapitzlist"/>
        <w:numPr>
          <w:ilvl w:val="0"/>
          <w:numId w:val="20"/>
        </w:numPr>
        <w:spacing w:after="0"/>
        <w:ind w:left="447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t>Liczba obiektów dostosowanych do potrzeb osób z niepełnosprawnościami;</w:t>
      </w:r>
    </w:p>
    <w:p w14:paraId="6DB6928A" w14:textId="77777777" w:rsidR="00F01F0B" w:rsidRPr="00236549" w:rsidRDefault="00F01F0B" w:rsidP="00F01F0B">
      <w:pPr>
        <w:pStyle w:val="Akapitzlist"/>
        <w:numPr>
          <w:ilvl w:val="0"/>
          <w:numId w:val="20"/>
        </w:numPr>
        <w:spacing w:after="0"/>
        <w:ind w:left="447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t>Liczba projektów, w których sfinansowano koszty racjonalnych usprawnień dla osób z niepełnosprawnościami;</w:t>
      </w:r>
    </w:p>
    <w:p w14:paraId="1020A681" w14:textId="77777777" w:rsidR="00F01F0B" w:rsidRPr="00236549" w:rsidRDefault="00F01F0B" w:rsidP="00F01F0B">
      <w:pPr>
        <w:spacing w:after="0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t>inne wspólne wskaźniki produktu tj.</w:t>
      </w:r>
    </w:p>
    <w:p w14:paraId="4FA06BC5" w14:textId="77777777" w:rsidR="00F01F0B" w:rsidRPr="00236549" w:rsidRDefault="00F01F0B" w:rsidP="00F01F0B">
      <w:pPr>
        <w:pStyle w:val="Akapitzlist"/>
        <w:numPr>
          <w:ilvl w:val="0"/>
          <w:numId w:val="19"/>
        </w:numPr>
        <w:spacing w:after="0"/>
        <w:ind w:left="447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t>Liczba osób z niepełnosprawnościami objętych wsparciem w programie;</w:t>
      </w:r>
    </w:p>
    <w:p w14:paraId="5853344A" w14:textId="77777777" w:rsidR="00F01F0B" w:rsidRPr="00236549" w:rsidRDefault="00F01F0B" w:rsidP="00F01F0B">
      <w:pPr>
        <w:pStyle w:val="Akapitzlist"/>
        <w:numPr>
          <w:ilvl w:val="0"/>
          <w:numId w:val="19"/>
        </w:numPr>
        <w:spacing w:after="0"/>
        <w:ind w:left="447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t>Liczba osób z krajów trzecich objętych wsparciem w programie;</w:t>
      </w:r>
    </w:p>
    <w:p w14:paraId="0B09DEEA" w14:textId="77777777" w:rsidR="00F01F0B" w:rsidRPr="00236549" w:rsidRDefault="00F01F0B" w:rsidP="00F01F0B">
      <w:pPr>
        <w:pStyle w:val="Akapitzlist"/>
        <w:numPr>
          <w:ilvl w:val="0"/>
          <w:numId w:val="19"/>
        </w:numPr>
        <w:spacing w:after="0"/>
        <w:ind w:left="447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t>Liczba osób obcego pochodzenia objętych wsparciem w programie;</w:t>
      </w:r>
    </w:p>
    <w:p w14:paraId="14B97D4B" w14:textId="77777777" w:rsidR="00F01F0B" w:rsidRPr="00236549" w:rsidRDefault="00F01F0B" w:rsidP="00F01F0B">
      <w:pPr>
        <w:pStyle w:val="Akapitzlist"/>
        <w:numPr>
          <w:ilvl w:val="0"/>
          <w:numId w:val="19"/>
        </w:numPr>
        <w:spacing w:after="0"/>
        <w:ind w:left="447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t>Liczba osób należących do mniejszości, w tym społeczności marginalizowanych takich jak Romowie, objętych wsparciem w programie;</w:t>
      </w:r>
    </w:p>
    <w:p w14:paraId="2B086842" w14:textId="77777777" w:rsidR="00F01F0B" w:rsidRPr="00236549" w:rsidRDefault="00F01F0B" w:rsidP="00F01F0B">
      <w:pPr>
        <w:pStyle w:val="Akapitzlist"/>
        <w:numPr>
          <w:ilvl w:val="0"/>
          <w:numId w:val="19"/>
        </w:numPr>
        <w:spacing w:after="0"/>
        <w:ind w:left="447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lastRenderedPageBreak/>
        <w:t>Liczba osób w kryzysie bezdomności lub dotkniętych wykluczeniem z dostępu do mieszkań, objętych wsparciem w programie;</w:t>
      </w:r>
    </w:p>
    <w:p w14:paraId="7C9486C9" w14:textId="77777777" w:rsidR="00F01F0B" w:rsidRPr="00236549" w:rsidRDefault="00F01F0B" w:rsidP="00F01F0B">
      <w:pPr>
        <w:spacing w:after="0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t>oraz wspólne wskaźniki produktu dotyczące podmiotów tj.</w:t>
      </w:r>
    </w:p>
    <w:p w14:paraId="6903D2EA" w14:textId="77777777" w:rsidR="00F01F0B" w:rsidRPr="00236549" w:rsidRDefault="00F01F0B" w:rsidP="00F01F0B">
      <w:pPr>
        <w:pStyle w:val="Akapitzlist"/>
        <w:numPr>
          <w:ilvl w:val="0"/>
          <w:numId w:val="21"/>
        </w:numPr>
        <w:spacing w:after="0"/>
        <w:ind w:left="447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t>Liczba objętych wsparciem podmiotów administracji publicznej lub służb publicznych na szczeblu krajowym, regionalnym lub lokalnym;</w:t>
      </w:r>
    </w:p>
    <w:p w14:paraId="52BF4BA0" w14:textId="77777777" w:rsidR="00F01F0B" w:rsidRPr="00236549" w:rsidRDefault="00F01F0B" w:rsidP="00F01F0B">
      <w:pPr>
        <w:pStyle w:val="Akapitzlist"/>
        <w:numPr>
          <w:ilvl w:val="0"/>
          <w:numId w:val="21"/>
        </w:numPr>
        <w:spacing w:after="0"/>
        <w:ind w:left="447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t>Liczba objętych wsparciem mikro-, małych i średnich przedsiębiorstw (w tym spółdzielni i przedsiębiorstw społecznych).</w:t>
      </w:r>
    </w:p>
    <w:p w14:paraId="0FC51331" w14:textId="2C345776" w:rsidR="00F01F0B" w:rsidRDefault="00F01F0B" w:rsidP="00F01F0B">
      <w:pPr>
        <w:spacing w:after="240"/>
        <w:rPr>
          <w:rFonts w:ascii="Arial" w:hAnsi="Arial" w:cs="Arial"/>
          <w:iCs/>
          <w:sz w:val="24"/>
          <w:szCs w:val="24"/>
        </w:rPr>
      </w:pPr>
      <w:r w:rsidRPr="00236549">
        <w:rPr>
          <w:rFonts w:ascii="Arial" w:hAnsi="Arial" w:cs="Arial"/>
          <w:iCs/>
          <w:sz w:val="24"/>
          <w:szCs w:val="24"/>
        </w:rPr>
        <w:t>Wartość docelowa powyższych wskaźników może wynosić 0, co nie zwalnia z</w:t>
      </w:r>
      <w:r w:rsidR="00262EB8">
        <w:rPr>
          <w:rFonts w:ascii="Arial" w:hAnsi="Arial" w:cs="Arial"/>
          <w:iCs/>
          <w:sz w:val="24"/>
          <w:szCs w:val="24"/>
        </w:rPr>
        <w:t> </w:t>
      </w:r>
      <w:r w:rsidRPr="00236549">
        <w:rPr>
          <w:rFonts w:ascii="Arial" w:hAnsi="Arial" w:cs="Arial"/>
          <w:iCs/>
          <w:sz w:val="24"/>
          <w:szCs w:val="24"/>
        </w:rPr>
        <w:t>obowiązku ich monitorowania.</w:t>
      </w:r>
    </w:p>
    <w:p w14:paraId="6F0C044F" w14:textId="574BDB4D" w:rsidR="009A0610" w:rsidRPr="00236549" w:rsidRDefault="009A0610" w:rsidP="00F01F0B">
      <w:pPr>
        <w:spacing w:after="240"/>
        <w:rPr>
          <w:rFonts w:ascii="Arial" w:hAnsi="Arial" w:cs="Arial"/>
          <w:iCs/>
          <w:sz w:val="24"/>
          <w:szCs w:val="24"/>
        </w:rPr>
      </w:pPr>
      <w:r w:rsidRPr="009A0610">
        <w:rPr>
          <w:rFonts w:ascii="Arial" w:hAnsi="Arial" w:cs="Arial"/>
          <w:iCs/>
          <w:sz w:val="24"/>
          <w:szCs w:val="24"/>
        </w:rPr>
        <w:t xml:space="preserve">W przypadku innych wspólnych wskaźników produktu IZ zobowiązuje Beneficjentów do zbierania danych osobowych dotyczących wskaźników; nie ma możliwości wykorzystywania szacunków.  </w:t>
      </w:r>
    </w:p>
    <w:tbl>
      <w:tblPr>
        <w:tblW w:w="500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wskaźników dotyczących Działania 10.3"/>
        <w:tblDescription w:val="Tabela zawiera wykaz wskaźników. Dla każdego wskaźnika wskazano jednostkę miary, rodzaj wskaźnika oraz definicję. "/>
      </w:tblPr>
      <w:tblGrid>
        <w:gridCol w:w="709"/>
        <w:gridCol w:w="2138"/>
        <w:gridCol w:w="1542"/>
        <w:gridCol w:w="1557"/>
        <w:gridCol w:w="3127"/>
      </w:tblGrid>
      <w:tr w:rsidR="00F01F0B" w:rsidRPr="00236549" w14:paraId="63523CB8" w14:textId="77777777" w:rsidTr="00B869A9">
        <w:trPr>
          <w:tblHeader/>
        </w:trPr>
        <w:tc>
          <w:tcPr>
            <w:tcW w:w="391" w:type="pct"/>
            <w:shd w:val="clear" w:color="auto" w:fill="auto"/>
            <w:vAlign w:val="center"/>
          </w:tcPr>
          <w:p w14:paraId="167DFF04" w14:textId="77777777" w:rsidR="00F01F0B" w:rsidRPr="00236549" w:rsidRDefault="00F01F0B" w:rsidP="004E4A6F">
            <w:pPr>
              <w:pStyle w:val="Akapitzlist"/>
              <w:tabs>
                <w:tab w:val="left" w:pos="360"/>
              </w:tabs>
              <w:spacing w:before="120" w:after="120"/>
              <w:ind w:left="0"/>
              <w:rPr>
                <w:rFonts w:ascii="Arial" w:hAnsi="Arial" w:cs="Arial"/>
                <w:iCs/>
                <w:sz w:val="24"/>
                <w:szCs w:val="24"/>
              </w:rPr>
            </w:pPr>
            <w:r w:rsidRPr="00236549">
              <w:rPr>
                <w:rFonts w:ascii="Arial" w:hAnsi="Arial" w:cs="Arial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7AAD097A" w14:textId="77777777" w:rsidR="00F01F0B" w:rsidRPr="00236549" w:rsidRDefault="00F01F0B" w:rsidP="004E4A6F">
            <w:pPr>
              <w:spacing w:before="120" w:after="120"/>
              <w:jc w:val="center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36549">
              <w:rPr>
                <w:rFonts w:ascii="Arial" w:hAnsi="Arial" w:cs="Arial"/>
                <w:b/>
                <w:iCs/>
                <w:sz w:val="24"/>
                <w:szCs w:val="24"/>
              </w:rPr>
              <w:t>Nazwa wskaźnika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5B518308" w14:textId="77777777" w:rsidR="00F01F0B" w:rsidRPr="00236549" w:rsidRDefault="00F01F0B" w:rsidP="004E4A6F">
            <w:pPr>
              <w:spacing w:before="120" w:after="12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36549">
              <w:rPr>
                <w:rFonts w:ascii="Arial" w:hAnsi="Arial" w:cs="Arial"/>
                <w:b/>
                <w:iCs/>
                <w:sz w:val="24"/>
                <w:szCs w:val="24"/>
              </w:rPr>
              <w:t>Jednostka miary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611CB188" w14:textId="77777777" w:rsidR="00F01F0B" w:rsidRPr="00236549" w:rsidRDefault="00F01F0B" w:rsidP="004E4A6F">
            <w:pPr>
              <w:spacing w:before="120" w:after="12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36549">
              <w:rPr>
                <w:rFonts w:ascii="Arial" w:hAnsi="Arial" w:cs="Arial"/>
                <w:b/>
                <w:iCs/>
                <w:sz w:val="24"/>
                <w:szCs w:val="24"/>
              </w:rPr>
              <w:t>Rodzaj wskaźnika</w:t>
            </w:r>
          </w:p>
        </w:tc>
        <w:tc>
          <w:tcPr>
            <w:tcW w:w="1723" w:type="pct"/>
            <w:shd w:val="clear" w:color="auto" w:fill="auto"/>
            <w:vAlign w:val="center"/>
          </w:tcPr>
          <w:p w14:paraId="24D39044" w14:textId="77777777" w:rsidR="00F01F0B" w:rsidRPr="00236549" w:rsidRDefault="00F01F0B" w:rsidP="004E4A6F">
            <w:pPr>
              <w:pStyle w:val="Default"/>
              <w:spacing w:before="120" w:after="120" w:line="276" w:lineRule="auto"/>
              <w:jc w:val="center"/>
              <w:rPr>
                <w:iCs/>
                <w:color w:val="auto"/>
              </w:rPr>
            </w:pPr>
            <w:r w:rsidRPr="00236549">
              <w:rPr>
                <w:b/>
                <w:iCs/>
              </w:rPr>
              <w:t>Definicja</w:t>
            </w:r>
          </w:p>
        </w:tc>
      </w:tr>
      <w:tr w:rsidR="00F01F0B" w:rsidRPr="00236549" w14:paraId="5DBEF803" w14:textId="77777777" w:rsidTr="00B869A9">
        <w:tc>
          <w:tcPr>
            <w:tcW w:w="391" w:type="pct"/>
            <w:shd w:val="clear" w:color="auto" w:fill="auto"/>
            <w:vAlign w:val="center"/>
          </w:tcPr>
          <w:p w14:paraId="64F04BA3" w14:textId="2CDF606D" w:rsidR="00F01F0B" w:rsidRPr="00F01F0B" w:rsidRDefault="00F01F0B" w:rsidP="00B869A9">
            <w:pPr>
              <w:pStyle w:val="Akapitzlist"/>
              <w:numPr>
                <w:ilvl w:val="0"/>
                <w:numId w:val="31"/>
              </w:numPr>
              <w:tabs>
                <w:tab w:val="left" w:pos="360"/>
              </w:tabs>
              <w:spacing w:before="120" w:after="12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78" w:type="pct"/>
            <w:shd w:val="clear" w:color="auto" w:fill="auto"/>
            <w:vAlign w:val="center"/>
          </w:tcPr>
          <w:p w14:paraId="7192A286" w14:textId="62EB549B" w:rsidR="00F01F0B" w:rsidRPr="00236549" w:rsidRDefault="00F01F0B" w:rsidP="004E4A6F">
            <w:pPr>
              <w:spacing w:before="240" w:after="0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Liczba projektów, w których sfinansowano koszty racjonalnych usprawnień dla osób z</w:t>
            </w:r>
            <w:r w:rsidR="00B869A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niepełnosprawnościami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2171E79E" w14:textId="77777777" w:rsidR="00F01F0B" w:rsidRPr="00236549" w:rsidRDefault="00F01F0B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</w:rPr>
              <w:t>sztuki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29CF5278" w14:textId="429959E2" w:rsidR="00F01F0B" w:rsidRPr="00236549" w:rsidRDefault="008E01D0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iCs/>
                <w:sz w:val="24"/>
                <w:szCs w:val="24"/>
              </w:rPr>
              <w:t>Wskaźnik produktu</w:t>
            </w:r>
          </w:p>
        </w:tc>
        <w:tc>
          <w:tcPr>
            <w:tcW w:w="1723" w:type="pct"/>
            <w:shd w:val="clear" w:color="auto" w:fill="auto"/>
            <w:vAlign w:val="center"/>
          </w:tcPr>
          <w:p w14:paraId="119B96AB" w14:textId="597B42CB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Racjonalne usprawnienie oznacza konieczne i</w:t>
            </w:r>
            <w:r w:rsidR="00B869A9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odpowiednie zmiany oraz dostosowania, nie nakładające nieproporcjonalnego lub nadmiernego obciążenia, rozpatrywane osobno dla każdego konkretnego przypadku, w celu zapewnienia osobom z</w:t>
            </w:r>
            <w:r w:rsidR="00B869A9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niepełnosprawnościami możliwości korzystania z</w:t>
            </w:r>
            <w:r w:rsidR="00B869A9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wszelkich praw człowieka i podstawowych wolności oraz ich wykonywania na zasadzie równości z innymi osobami.</w:t>
            </w:r>
          </w:p>
          <w:p w14:paraId="18EFE621" w14:textId="406C380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Wskaźnik mierzony</w:t>
            </w:r>
            <w:r w:rsidR="00CD5E8F">
              <w:rPr>
                <w:iCs/>
                <w:color w:val="auto"/>
              </w:rPr>
              <w:t xml:space="preserve"> jest</w:t>
            </w:r>
            <w:r w:rsidRPr="00236549">
              <w:rPr>
                <w:iCs/>
                <w:color w:val="auto"/>
              </w:rPr>
              <w:t xml:space="preserve"> w</w:t>
            </w:r>
            <w:r w:rsidR="00B869A9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momencie rozliczenia wydatku związanego z</w:t>
            </w:r>
            <w:r w:rsidR="00B869A9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racjonalnymi usprawnieniami w ramach danego projektu.</w:t>
            </w:r>
            <w:r w:rsidR="00097D84">
              <w:rPr>
                <w:iCs/>
                <w:color w:val="auto"/>
              </w:rPr>
              <w:t xml:space="preserve"> </w:t>
            </w:r>
            <w:r w:rsidR="00097D84">
              <w:rPr>
                <w:iCs/>
              </w:rPr>
              <w:t>Tym</w:t>
            </w:r>
            <w:r w:rsidR="00FE01D3">
              <w:rPr>
                <w:iCs/>
              </w:rPr>
              <w:t xml:space="preserve"> samym, jego wartość początkowa wynosi 0.</w:t>
            </w:r>
          </w:p>
          <w:p w14:paraId="465C48D2" w14:textId="517EA6EA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lastRenderedPageBreak/>
              <w:t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</w:t>
            </w:r>
            <w:r w:rsidR="00A610EE">
              <w:rPr>
                <w:iCs/>
                <w:color w:val="auto"/>
              </w:rPr>
              <w:t>.</w:t>
            </w:r>
          </w:p>
          <w:p w14:paraId="5D62690B" w14:textId="5E16F05A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Do wskaźnika powinny zostać wliczone zarówno projekty ogólnodostępne, w których sfinansowano koszty racjonalnych usprawnień, jak i</w:t>
            </w:r>
            <w:r w:rsidR="00CD5E8F">
              <w:rPr>
                <w:iCs/>
                <w:color w:val="auto"/>
              </w:rPr>
              <w:t xml:space="preserve"> te</w:t>
            </w:r>
            <w:r w:rsidR="00AC68E5">
              <w:rPr>
                <w:iCs/>
                <w:color w:val="auto"/>
              </w:rPr>
              <w:t xml:space="preserve"> </w:t>
            </w:r>
            <w:r w:rsidR="00C9651A" w:rsidRPr="00653D57">
              <w:t>ukierunkowane na zwalczanie i zapobieganie wszelkim formom dyskryminacji w stosunku do osób na nią narażonych, a także zwiększanie dostępności dla osób z niepełnosprawnościami</w:t>
            </w:r>
            <w:r w:rsidRPr="00236549">
              <w:rPr>
                <w:iCs/>
                <w:color w:val="auto"/>
              </w:rPr>
              <w:t>.</w:t>
            </w:r>
          </w:p>
          <w:p w14:paraId="2364B326" w14:textId="7777777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 xml:space="preserve">Na poziomie projektu wskaźnik może przyjmować maksymalną wartość 1 - co oznacza jeden projekt, w którym sfinansowano koszty racjonalnych usprawnień dla osób z niepełnosprawnościami. Liczba sfinansowanych racjonalnych usprawnień, </w:t>
            </w:r>
            <w:r w:rsidRPr="00236549">
              <w:rPr>
                <w:iCs/>
                <w:color w:val="auto"/>
              </w:rPr>
              <w:lastRenderedPageBreak/>
              <w:t>w ramach projektu, nie ma znaczenia dla wartości wykazywanej we wskaźniku.</w:t>
            </w:r>
          </w:p>
          <w:p w14:paraId="69397EB6" w14:textId="7777777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 xml:space="preserve">Definicja na podstawie: </w:t>
            </w:r>
            <w:r w:rsidRPr="00B97596">
              <w:rPr>
                <w:i/>
                <w:color w:val="auto"/>
              </w:rPr>
              <w:t>Wytyczne w zakresie realizacji zasad równościowych w ramach funduszy unijnych na lata 2021-2027</w:t>
            </w:r>
            <w:r w:rsidRPr="00236549">
              <w:rPr>
                <w:iCs/>
                <w:color w:val="auto"/>
              </w:rPr>
              <w:t>.</w:t>
            </w:r>
          </w:p>
        </w:tc>
      </w:tr>
      <w:tr w:rsidR="00F01F0B" w:rsidRPr="00236549" w14:paraId="02CA8E67" w14:textId="77777777" w:rsidTr="00B869A9">
        <w:tc>
          <w:tcPr>
            <w:tcW w:w="391" w:type="pct"/>
            <w:shd w:val="clear" w:color="auto" w:fill="auto"/>
            <w:vAlign w:val="center"/>
          </w:tcPr>
          <w:p w14:paraId="023D7A83" w14:textId="562FE67B" w:rsidR="00F01F0B" w:rsidRPr="00B869A9" w:rsidRDefault="00F01F0B" w:rsidP="00B869A9">
            <w:pPr>
              <w:pStyle w:val="Akapitzlist"/>
              <w:numPr>
                <w:ilvl w:val="0"/>
                <w:numId w:val="31"/>
              </w:numPr>
              <w:tabs>
                <w:tab w:val="left" w:pos="360"/>
              </w:tabs>
              <w:spacing w:before="120" w:after="12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78" w:type="pct"/>
            <w:shd w:val="clear" w:color="auto" w:fill="auto"/>
            <w:vAlign w:val="center"/>
          </w:tcPr>
          <w:p w14:paraId="0B91AAE4" w14:textId="1AB7C043" w:rsidR="00F01F0B" w:rsidRPr="00236549" w:rsidRDefault="00F01F0B" w:rsidP="004E4A6F">
            <w:pPr>
              <w:spacing w:before="240" w:after="0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Liczba obiektów dostosowanych do potrzeb osób z</w:t>
            </w:r>
            <w:r w:rsidR="00B869A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niepełnosprawnościami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6E55A240" w14:textId="77777777" w:rsidR="00F01F0B" w:rsidRPr="00236549" w:rsidRDefault="00F01F0B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</w:rPr>
              <w:t>sztuki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663E75A3" w14:textId="5172569A" w:rsidR="00F01F0B" w:rsidRPr="00236549" w:rsidRDefault="008E01D0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iCs/>
                <w:sz w:val="24"/>
                <w:szCs w:val="24"/>
              </w:rPr>
              <w:t>Wskaźnik produktu</w:t>
            </w:r>
          </w:p>
        </w:tc>
        <w:tc>
          <w:tcPr>
            <w:tcW w:w="1723" w:type="pct"/>
            <w:shd w:val="clear" w:color="auto" w:fill="auto"/>
            <w:vAlign w:val="center"/>
          </w:tcPr>
          <w:p w14:paraId="0533DDA3" w14:textId="02DF5F9C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Wskaźnik odnosi się do liczby obiektów w ramach realizowanego projektu, które zaopatrzono w specjalne podjazdy, windy, urządzenia głośnomówiące, bądź inne udogodnienia (tj. usunięcie barier w dostępie, w</w:t>
            </w:r>
            <w:r w:rsidR="00B869A9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szczególności barier architektonicznych) ułatwiające dostęp do tych obiektów i poruszanie się po nich osobom z niepełnosprawnościami, w</w:t>
            </w:r>
            <w:r w:rsidR="00B869A9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szczególności ruchowymi czy sensorycznymi.</w:t>
            </w:r>
          </w:p>
          <w:p w14:paraId="31CA6D83" w14:textId="5C686CF6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Jako obiekty należy rozumieć konstrukcje połączone z gruntem w</w:t>
            </w:r>
            <w:r w:rsidR="00B869A9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sposób trwały, wykonane z materiałów budowlanych i elementów składowych, będące wynikiem prac budowlanych (wg. def. PKOB).</w:t>
            </w:r>
          </w:p>
          <w:p w14:paraId="3DD81661" w14:textId="1A9640EF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 xml:space="preserve">Należy podać liczbę obiektów, a nie sprzętów, </w:t>
            </w:r>
            <w:r w:rsidRPr="00236549">
              <w:rPr>
                <w:iCs/>
                <w:color w:val="auto"/>
              </w:rPr>
              <w:lastRenderedPageBreak/>
              <w:t>urządzeń itp., w które obiekty zaopatrzono. Jeśli instytucja, zakład itp. składa się z kilku obiektów, należy zliczyć wszystkie, które dostosowano do potrzeb osób z</w:t>
            </w:r>
            <w:r w:rsidR="00B869A9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niepełnosprawnościami. </w:t>
            </w:r>
          </w:p>
          <w:p w14:paraId="25DF4E46" w14:textId="3B429C61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Wskaźnik mierzony w</w:t>
            </w:r>
            <w:r w:rsidR="00B869A9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momencie rozliczenia wydatku związanego z</w:t>
            </w:r>
            <w:r w:rsidR="00B869A9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wyposażeniem obiektów w rozwiązania służące osobom z</w:t>
            </w:r>
            <w:r w:rsidR="00B869A9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niepełnosprawnościami w ramach danego projektu.</w:t>
            </w:r>
          </w:p>
        </w:tc>
      </w:tr>
      <w:tr w:rsidR="00F01F0B" w:rsidRPr="00236549" w14:paraId="1616D187" w14:textId="77777777" w:rsidTr="00B869A9">
        <w:tc>
          <w:tcPr>
            <w:tcW w:w="391" w:type="pct"/>
            <w:shd w:val="clear" w:color="auto" w:fill="auto"/>
            <w:vAlign w:val="center"/>
          </w:tcPr>
          <w:p w14:paraId="2FC5B706" w14:textId="06A9CE6F" w:rsidR="00F01F0B" w:rsidRPr="00B869A9" w:rsidRDefault="00F01F0B" w:rsidP="00B869A9">
            <w:pPr>
              <w:pStyle w:val="Akapitzlist"/>
              <w:numPr>
                <w:ilvl w:val="0"/>
                <w:numId w:val="31"/>
              </w:numPr>
              <w:spacing w:before="120" w:after="12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78" w:type="pct"/>
            <w:shd w:val="clear" w:color="auto" w:fill="auto"/>
            <w:vAlign w:val="center"/>
          </w:tcPr>
          <w:p w14:paraId="4F0B1E19" w14:textId="4FF78817" w:rsidR="00F01F0B" w:rsidRPr="00236549" w:rsidRDefault="00F01F0B" w:rsidP="004E4A6F">
            <w:pPr>
              <w:spacing w:before="240" w:after="0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Liczba osób z</w:t>
            </w:r>
            <w:r w:rsidR="001D7A64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niepełnosprawnościami objętych wsparciem w</w:t>
            </w:r>
            <w:r w:rsidR="00B869A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programie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788E8968" w14:textId="77777777" w:rsidR="00F01F0B" w:rsidRPr="00236549" w:rsidRDefault="00F01F0B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</w:rPr>
              <w:t>osoby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0F3A634E" w14:textId="55333276" w:rsidR="00F01F0B" w:rsidRPr="00236549" w:rsidRDefault="008E01D0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iCs/>
                <w:sz w:val="24"/>
                <w:szCs w:val="24"/>
              </w:rPr>
              <w:t>Wskaźnik produktu</w:t>
            </w:r>
          </w:p>
        </w:tc>
        <w:tc>
          <w:tcPr>
            <w:tcW w:w="1723" w:type="pct"/>
            <w:shd w:val="clear" w:color="auto" w:fill="auto"/>
            <w:vAlign w:val="center"/>
          </w:tcPr>
          <w:p w14:paraId="4E005903" w14:textId="30EA09B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Za osoby z niepełnosprawnościami uznaje się osoby niepełnosprawne w świetle przepisów ustawy z dnia 27 sierpnia 1997 r. o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rehabilitacji zawodowej i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społecznej oraz zatrudnianiu osób niepełnosprawnych, a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także osoby z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zaburzeniami psychicznymi, o których mowa w ustawie z dnia 19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sierpnia 1994 r. o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ochronie zdrowia psychicznego tj. osoby z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odpowiednim orzeczeniem lub innym dokumentem poświadczającym stan zdrowia. </w:t>
            </w:r>
          </w:p>
          <w:p w14:paraId="1D58D14E" w14:textId="4A64FBF9" w:rsidR="00D27733" w:rsidRPr="00D27733" w:rsidRDefault="00D27733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65F5C">
              <w:rPr>
                <w:rFonts w:eastAsia="Times New Roman"/>
                <w:lang w:eastAsia="pl-PL"/>
              </w:rPr>
              <w:t xml:space="preserve">Osoby z niepełnosprawnościami to </w:t>
            </w:r>
            <w:r w:rsidRPr="00265F5C">
              <w:rPr>
                <w:rFonts w:eastAsia="Times New Roman"/>
                <w:lang w:eastAsia="pl-PL"/>
              </w:rPr>
              <w:lastRenderedPageBreak/>
              <w:t>też uczniowie albo dzieci w wieku przedszkolnym posiadające orzeczenie o potrzebie kształcenia specjalnego wydane ze względu na dany rodzaj niepełnosprawności lub dzieci i młodzież posiadające orzeczenie o potrzebie zajęć rewalidacyjno-wychowawczych wydawane ze względu na niepełnosprawność intelektualną w stopniu głębokim. Orzeczenia uczniów, dzieci lub młodzieży są wydawane przez zespół orzekający działający w publicznej poradni psychologiczno-pedagogicznej, w tym poradni specjalistycznej.</w:t>
            </w:r>
          </w:p>
          <w:p w14:paraId="7E63B256" w14:textId="105B65B0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Przynależność do grupy osób z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niepełnosprawnościami określana jest w momencie rozpoczęcia udziału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projekcie, tj. w chwili rozpoczęcia udziału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pierwszej formie wsparcia w projekcie.</w:t>
            </w:r>
          </w:p>
          <w:p w14:paraId="51BD7CCF" w14:textId="1A6A83D1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 xml:space="preserve">W przypadku, gdy niepełnosprawność jest kryterium umożliwiającym udział w danej interwencji (np. grupa docelowa wskazana została we wniosku o dofinansowanie, kryteriach wyboru projektu lub dokumentach </w:t>
            </w:r>
            <w:r w:rsidRPr="00236549">
              <w:rPr>
                <w:iCs/>
                <w:color w:val="auto"/>
              </w:rPr>
              <w:lastRenderedPageBreak/>
              <w:t>programowych), należy dane pozyskiwać bezpośrednio od wszystkich jej uczestników. W pozostałych przypadkach dane osobowe dot. tej cechy nie muszą być zbierane od poszczególnych uczestników. Wskaźnik należy jednak monitorować, nawet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przypadku, gdy powiązane z nim dane osobowe nie są zbierane od uczestników. Beneficjent stosuje wtedy szacunki. Najlepiej, by szacunki dotyczące uczestników z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</w:t>
            </w:r>
            <w:r w:rsidRPr="00236549">
              <w:rPr>
                <w:iCs/>
                <w:color w:val="auto"/>
              </w:rPr>
              <w:lastRenderedPageBreak/>
              <w:t xml:space="preserve">osobowych dot. tego wskaźnika od uczestników. </w:t>
            </w:r>
          </w:p>
          <w:p w14:paraId="6D69FCDE" w14:textId="7777777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</w:tr>
      <w:tr w:rsidR="00F01F0B" w:rsidRPr="00236549" w14:paraId="23889C33" w14:textId="77777777" w:rsidTr="00B869A9">
        <w:tc>
          <w:tcPr>
            <w:tcW w:w="391" w:type="pct"/>
            <w:shd w:val="clear" w:color="auto" w:fill="auto"/>
            <w:vAlign w:val="center"/>
          </w:tcPr>
          <w:p w14:paraId="0470EBB5" w14:textId="3B613252" w:rsidR="00F01F0B" w:rsidRPr="00B869A9" w:rsidRDefault="00F01F0B" w:rsidP="00B869A9">
            <w:pPr>
              <w:pStyle w:val="Akapitzlist"/>
              <w:numPr>
                <w:ilvl w:val="0"/>
                <w:numId w:val="31"/>
              </w:numPr>
              <w:spacing w:before="120" w:after="12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bookmarkStart w:id="7" w:name="_Hlk179970377"/>
          </w:p>
        </w:tc>
        <w:tc>
          <w:tcPr>
            <w:tcW w:w="1178" w:type="pct"/>
            <w:shd w:val="clear" w:color="auto" w:fill="auto"/>
            <w:vAlign w:val="center"/>
          </w:tcPr>
          <w:p w14:paraId="7B0F330D" w14:textId="2EB49603" w:rsidR="00F01F0B" w:rsidRPr="00236549" w:rsidRDefault="00F01F0B" w:rsidP="004E4A6F">
            <w:pPr>
              <w:spacing w:before="240" w:after="0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Liczba osób z</w:t>
            </w:r>
            <w:r w:rsidR="00BC10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krajów trzecich objętych wsparciem w</w:t>
            </w:r>
            <w:r w:rsidR="001D7A64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programie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112671B0" w14:textId="77777777" w:rsidR="00F01F0B" w:rsidRPr="00236549" w:rsidRDefault="00F01F0B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</w:rPr>
              <w:t>osoby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0AE41913" w14:textId="00A1EC5B" w:rsidR="00F01F0B" w:rsidRPr="00236549" w:rsidRDefault="008E01D0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iCs/>
                <w:sz w:val="24"/>
                <w:szCs w:val="24"/>
              </w:rPr>
              <w:t>Wskaźnik produktu</w:t>
            </w:r>
          </w:p>
        </w:tc>
        <w:tc>
          <w:tcPr>
            <w:tcW w:w="1723" w:type="pct"/>
            <w:shd w:val="clear" w:color="auto" w:fill="auto"/>
            <w:vAlign w:val="center"/>
          </w:tcPr>
          <w:p w14:paraId="6BA2A0DA" w14:textId="28E4E598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Osoby, które są obywatelami krajów spoza UE. Do wskaźnika wlicza się też bezpaństwowców zgodnie z Konwencją o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statusie bezpaństwowców z 1954 r. i osoby bez ustalonego obywatelstwa. </w:t>
            </w:r>
          </w:p>
          <w:p w14:paraId="5901B8D0" w14:textId="1D5B5C29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Przynależność do grupy osób z krajów trzecich określana jest w momencie rozpoczęcia udziału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projekcie, tj. w chwili rozpoczęcia udziału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pierwszej formie wsparcia w projekcie.</w:t>
            </w:r>
          </w:p>
          <w:p w14:paraId="321BF9E0" w14:textId="0FEB43ED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W przypadku, gdy obywatelstwo państw trzecich jest kryterium umożliwiającym udział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danej interwencji (np. grupa docelowa wskazana została we wniosku o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dofinansowanie, kryteriach wyboru projektu lub dokumentach programowych), należy dane pozyskiwać bezpośrednio od </w:t>
            </w:r>
            <w:r w:rsidRPr="00236549">
              <w:rPr>
                <w:iCs/>
                <w:color w:val="auto"/>
              </w:rPr>
              <w:lastRenderedPageBreak/>
              <w:t>wszystkich jej uczestników. W pozostałych przypadkach dane osobowe dot. tej cechy nie muszą być zbierane od poszczególnych uczestników. Wskaźnik należy jednak monitorować, nawet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 </w:t>
            </w:r>
          </w:p>
          <w:p w14:paraId="764DD8F1" w14:textId="4FB4DDF2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 xml:space="preserve">Zasady dotyczące możliwości wykorzystania </w:t>
            </w:r>
            <w:r w:rsidRPr="00236549">
              <w:rPr>
                <w:iCs/>
                <w:color w:val="auto"/>
              </w:rPr>
              <w:lastRenderedPageBreak/>
              <w:t>wiarygodnych szacunków przez beneficjentów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danym naborze określane są przez właściwą dla programu Instytucję Zarządzającą.</w:t>
            </w:r>
          </w:p>
        </w:tc>
      </w:tr>
      <w:tr w:rsidR="00F01F0B" w:rsidRPr="00236549" w14:paraId="1BD0C57C" w14:textId="77777777" w:rsidTr="00B869A9">
        <w:tc>
          <w:tcPr>
            <w:tcW w:w="391" w:type="pct"/>
            <w:shd w:val="clear" w:color="auto" w:fill="auto"/>
            <w:vAlign w:val="center"/>
          </w:tcPr>
          <w:p w14:paraId="4ADD13BD" w14:textId="1AD43DE5" w:rsidR="00F01F0B" w:rsidRPr="00B869A9" w:rsidRDefault="00F01F0B" w:rsidP="00B869A9">
            <w:pPr>
              <w:pStyle w:val="Akapitzlist"/>
              <w:numPr>
                <w:ilvl w:val="0"/>
                <w:numId w:val="31"/>
              </w:numPr>
              <w:spacing w:before="120" w:after="12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bookmarkStart w:id="8" w:name="_Hlk179970486"/>
            <w:bookmarkEnd w:id="7"/>
          </w:p>
        </w:tc>
        <w:tc>
          <w:tcPr>
            <w:tcW w:w="1178" w:type="pct"/>
            <w:shd w:val="clear" w:color="auto" w:fill="auto"/>
            <w:vAlign w:val="center"/>
          </w:tcPr>
          <w:p w14:paraId="1E4B10E1" w14:textId="4770D527" w:rsidR="00F01F0B" w:rsidRPr="00236549" w:rsidRDefault="00F01F0B" w:rsidP="004E4A6F">
            <w:pPr>
              <w:spacing w:before="240" w:after="0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Liczba osób obcego pochodzenia objętych wsparciem w</w:t>
            </w:r>
            <w:r w:rsidR="00BC10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programie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40D34BB3" w14:textId="77777777" w:rsidR="00F01F0B" w:rsidRPr="00236549" w:rsidRDefault="00F01F0B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</w:rPr>
              <w:t>osoby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050BE234" w14:textId="7A2E2AF1" w:rsidR="00F01F0B" w:rsidRPr="00236549" w:rsidRDefault="008E01D0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iCs/>
                <w:sz w:val="24"/>
                <w:szCs w:val="24"/>
              </w:rPr>
              <w:t>Wskaźnik produktu</w:t>
            </w:r>
          </w:p>
        </w:tc>
        <w:tc>
          <w:tcPr>
            <w:tcW w:w="1723" w:type="pct"/>
            <w:shd w:val="clear" w:color="auto" w:fill="auto"/>
            <w:vAlign w:val="center"/>
          </w:tcPr>
          <w:p w14:paraId="33F1A601" w14:textId="7777777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587A4848" w14:textId="7777777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Wskaźnik nie obejmuje osób należących do mniejszości, których udział w projektach monitorowany jest wskaźnikiem liczba osób należących do mniejszości, w tym społeczności marginalizowanych takich jak Romowie, objętych wsparciem w programie.</w:t>
            </w:r>
          </w:p>
          <w:p w14:paraId="6633DCC7" w14:textId="60FD8E4E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Przynależność do grupy osób obcego pochodzenia określana jest w momencie rozpoczęcia udziału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projekcie, tj. w chwili rozpoczęcia udziału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pierwszej formie wsparcia w projekcie.</w:t>
            </w:r>
          </w:p>
          <w:p w14:paraId="6EA9AA56" w14:textId="4A08BFFB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 xml:space="preserve">W przypadku, gdy fakt bycia cudzoziemcem (osobą obcego pochodzenia) jest kryterium umożliwiającym </w:t>
            </w:r>
            <w:r w:rsidRPr="00236549">
              <w:rPr>
                <w:iCs/>
                <w:color w:val="auto"/>
              </w:rPr>
              <w:lastRenderedPageBreak/>
              <w:t>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przypadku, gdy powiązane z nim dane osobowe nie są zbierane od uczestników. Beneficjent stosuje wtedy szacunki. Najlepiej, by szacunki dotyczące uczestników obcego pochodzenia w ogólnej liczbie uczestników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</w:t>
            </w:r>
            <w:r w:rsidRPr="00236549">
              <w:rPr>
                <w:iCs/>
                <w:color w:val="auto"/>
              </w:rPr>
              <w:lastRenderedPageBreak/>
              <w:t xml:space="preserve">jedna metoda monitorowania tego wskaźnika tj. szacowanie lub zbieranie danych osobowych dot. tego wskaźnika od uczestników. </w:t>
            </w:r>
          </w:p>
          <w:p w14:paraId="7DF8A298" w14:textId="129196F9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Informacje dodatkowe: Wskaźnik będzie obejmował zawsze osoby z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krajów trzecich, zliczane we wskaźniku liczba osób z krajów trzecich objętych wsparciem w programie.</w:t>
            </w:r>
          </w:p>
          <w:p w14:paraId="46829D13" w14:textId="649AEB52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Zasady dotyczące możliwości wykorzystania wiarygodnych szacunków przez beneficjentów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danym naborze określane są przez właściwą dla programu Instytucję Zarządzającą.</w:t>
            </w:r>
          </w:p>
        </w:tc>
      </w:tr>
      <w:bookmarkEnd w:id="8"/>
      <w:tr w:rsidR="00F01F0B" w:rsidRPr="00236549" w14:paraId="5258055A" w14:textId="77777777" w:rsidTr="00B869A9">
        <w:tc>
          <w:tcPr>
            <w:tcW w:w="391" w:type="pct"/>
            <w:shd w:val="clear" w:color="auto" w:fill="auto"/>
            <w:vAlign w:val="center"/>
          </w:tcPr>
          <w:p w14:paraId="3334E8E2" w14:textId="5B574651" w:rsidR="00F01F0B" w:rsidRPr="00B869A9" w:rsidRDefault="00F01F0B" w:rsidP="00B869A9">
            <w:pPr>
              <w:pStyle w:val="Akapitzlist"/>
              <w:numPr>
                <w:ilvl w:val="0"/>
                <w:numId w:val="31"/>
              </w:numPr>
              <w:spacing w:before="120" w:after="12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78" w:type="pct"/>
            <w:shd w:val="clear" w:color="auto" w:fill="auto"/>
            <w:vAlign w:val="center"/>
          </w:tcPr>
          <w:p w14:paraId="0FD700D8" w14:textId="17FEFC87" w:rsidR="00F01F0B" w:rsidRPr="00236549" w:rsidRDefault="00F01F0B" w:rsidP="004E4A6F">
            <w:pPr>
              <w:spacing w:before="240" w:after="0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Liczba osób należących do mniejszości, w</w:t>
            </w:r>
            <w:r w:rsidR="00BC10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tym społeczności marginalizowanych takich jak Romowie, objętych wsparciem w</w:t>
            </w:r>
            <w:r w:rsidR="00BC10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programie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464810AC" w14:textId="77777777" w:rsidR="00F01F0B" w:rsidRPr="00236549" w:rsidRDefault="00F01F0B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</w:rPr>
              <w:t>osoby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55B464C9" w14:textId="1CCA40BB" w:rsidR="00F01F0B" w:rsidRPr="00236549" w:rsidRDefault="008E01D0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iCs/>
                <w:sz w:val="24"/>
                <w:szCs w:val="24"/>
              </w:rPr>
              <w:t>Wskaźnik produktu</w:t>
            </w:r>
          </w:p>
        </w:tc>
        <w:tc>
          <w:tcPr>
            <w:tcW w:w="1723" w:type="pct"/>
            <w:shd w:val="clear" w:color="auto" w:fill="auto"/>
            <w:vAlign w:val="center"/>
          </w:tcPr>
          <w:p w14:paraId="048B45BF" w14:textId="7777777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bookmarkStart w:id="9" w:name="_Hlk179970738"/>
            <w:r w:rsidRPr="00236549">
              <w:rPr>
                <w:iCs/>
                <w:color w:val="auto"/>
              </w:rPr>
              <w:t>Wskaźnik obejmuje osoby należące do mniejszości narodowych i etnicznych biorące udział w projektach EFS+.</w:t>
            </w:r>
          </w:p>
          <w:p w14:paraId="6DFF51E1" w14:textId="7777777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</w:p>
          <w:p w14:paraId="76F505FE" w14:textId="6B0E3279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Definicja opracowana na podstawie ustawy z dnia 6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stycznia 2005 r. </w:t>
            </w:r>
            <w:r w:rsidRPr="00236549">
              <w:rPr>
                <w:iCs/>
                <w:color w:val="auto"/>
              </w:rPr>
              <w:lastRenderedPageBreak/>
              <w:t>o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mniejszościach narodowych i etnicznych oraz o języku regionalnym</w:t>
            </w:r>
            <w:r w:rsidR="0041270F">
              <w:rPr>
                <w:rStyle w:val="Odwoanieprzypisudolnego"/>
                <w:iCs/>
                <w:color w:val="auto"/>
              </w:rPr>
              <w:footnoteReference w:id="2"/>
            </w:r>
            <w:r w:rsidRPr="00236549">
              <w:rPr>
                <w:iCs/>
                <w:color w:val="auto"/>
              </w:rPr>
              <w:t>.</w:t>
            </w:r>
          </w:p>
          <w:p w14:paraId="30F3D8C9" w14:textId="4C936220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Przynależność do grupy osób należących do mniejszości określana jest w momencie rozpoczęcia udziału w projekcie, tj.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chwili rozpoczęcia udziału w pierwszej formie wsparcia w projekcie.</w:t>
            </w:r>
          </w:p>
          <w:p w14:paraId="15D06612" w14:textId="45D00311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W przypadku, gdy przynależność do mniejszości jest kryterium umożliwiającym udział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danej interwencji (np. grupa docelowa wskazana została we wniosku o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</w:t>
            </w:r>
            <w:r w:rsidRPr="00236549">
              <w:rPr>
                <w:iCs/>
                <w:color w:val="auto"/>
              </w:rPr>
              <w:lastRenderedPageBreak/>
              <w:t>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przypadku, gdy powiązane z nim dane osobowe nie są zbierane od uczestników. Beneficjent stosuje wtedy szacunki. Najlepiej, by szacunki dotyczące uczestników należących do mniejszości w ogólnej liczbie uczestników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76E88C37" w14:textId="59136B75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Zasady dotyczące możliwości wykorzystania wiarygodnych szacunków przez beneficjentów w</w:t>
            </w:r>
            <w:r w:rsidR="00BC106F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danym naborze określane są przez właściwą dla programu Instytucję Zarządzającą</w:t>
            </w:r>
            <w:bookmarkEnd w:id="9"/>
          </w:p>
        </w:tc>
      </w:tr>
      <w:tr w:rsidR="00F01F0B" w:rsidRPr="00236549" w14:paraId="10096525" w14:textId="77777777" w:rsidTr="00B869A9">
        <w:tc>
          <w:tcPr>
            <w:tcW w:w="391" w:type="pct"/>
            <w:shd w:val="clear" w:color="auto" w:fill="auto"/>
            <w:vAlign w:val="center"/>
          </w:tcPr>
          <w:p w14:paraId="15D232C7" w14:textId="3E31803F" w:rsidR="00F01F0B" w:rsidRPr="00B869A9" w:rsidRDefault="00F01F0B" w:rsidP="00B869A9">
            <w:pPr>
              <w:pStyle w:val="Akapitzlist"/>
              <w:numPr>
                <w:ilvl w:val="0"/>
                <w:numId w:val="31"/>
              </w:numPr>
              <w:spacing w:before="120" w:after="12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bookmarkStart w:id="10" w:name="_Hlk179970811"/>
          </w:p>
        </w:tc>
        <w:tc>
          <w:tcPr>
            <w:tcW w:w="1178" w:type="pct"/>
            <w:shd w:val="clear" w:color="auto" w:fill="auto"/>
            <w:vAlign w:val="center"/>
          </w:tcPr>
          <w:p w14:paraId="3BF2B10B" w14:textId="76262529" w:rsidR="00F01F0B" w:rsidRPr="00236549" w:rsidRDefault="00F01F0B" w:rsidP="004E4A6F">
            <w:pPr>
              <w:spacing w:before="240" w:after="0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Liczba osób w</w:t>
            </w:r>
            <w:r w:rsidR="001D7A64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kryzysie 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lastRenderedPageBreak/>
              <w:t>bezdomności lub dotkniętych wykluczeniem z</w:t>
            </w:r>
            <w:r w:rsidR="001D7A64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dostępu do mieszkań, objętych wsparciem w</w:t>
            </w:r>
            <w:r w:rsidR="001D7A64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programie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687EC80A" w14:textId="77777777" w:rsidR="00F01F0B" w:rsidRPr="00236549" w:rsidRDefault="00F01F0B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</w:rPr>
              <w:lastRenderedPageBreak/>
              <w:t>osoby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62CD07B0" w14:textId="3369804A" w:rsidR="00F01F0B" w:rsidRPr="00236549" w:rsidRDefault="008E01D0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iCs/>
                <w:sz w:val="24"/>
                <w:szCs w:val="24"/>
              </w:rPr>
              <w:t>Wskaźnik produktu</w:t>
            </w:r>
          </w:p>
        </w:tc>
        <w:tc>
          <w:tcPr>
            <w:tcW w:w="1723" w:type="pct"/>
            <w:shd w:val="clear" w:color="auto" w:fill="auto"/>
            <w:vAlign w:val="center"/>
          </w:tcPr>
          <w:p w14:paraId="6EACE5E4" w14:textId="2CB3C9EF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We wskaźniku wykazywane są osoby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kryzysie bezdomności </w:t>
            </w:r>
            <w:r w:rsidRPr="00236549">
              <w:rPr>
                <w:iCs/>
                <w:color w:val="auto"/>
              </w:rPr>
              <w:lastRenderedPageBreak/>
              <w:t>lub dotknięte wykluczeniem z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dostępu do mieszkań.</w:t>
            </w:r>
          </w:p>
          <w:p w14:paraId="79FC5ECD" w14:textId="4DE45024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Bezdomność i wykluczenie mieszkaniowe definiowane są zgodnie z Europejską typologią bezdomności i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wykluczenia mieszkaniowego ETHOS, w której wskazuje się okoliczności życia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bezdomności lub ekstremalne formy wykluczenia mieszkaniowego oraz ustawą z dnia 12 marca 2004 r.  o pomocy społecznej: </w:t>
            </w:r>
          </w:p>
          <w:p w14:paraId="61CDCBCB" w14:textId="0D1B01C3" w:rsidR="00F01F0B" w:rsidRPr="00236549" w:rsidRDefault="00F01F0B" w:rsidP="004E4A6F">
            <w:pPr>
              <w:pStyle w:val="Default"/>
              <w:numPr>
                <w:ilvl w:val="0"/>
                <w:numId w:val="34"/>
              </w:numPr>
              <w:spacing w:before="60" w:after="120" w:line="276" w:lineRule="auto"/>
              <w:ind w:left="45" w:hanging="45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ab/>
              <w:t>Bez dachu nad głową, w tym osoby żyjące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przestrzeni publicznej lub zakwaterowane interwencyjnie;</w:t>
            </w:r>
          </w:p>
          <w:p w14:paraId="2F100530" w14:textId="79196D17" w:rsidR="00F01F0B" w:rsidRPr="00236549" w:rsidRDefault="00F01F0B" w:rsidP="004E4A6F">
            <w:pPr>
              <w:pStyle w:val="Default"/>
              <w:numPr>
                <w:ilvl w:val="0"/>
                <w:numId w:val="34"/>
              </w:numPr>
              <w:spacing w:before="60" w:after="120" w:line="276" w:lineRule="auto"/>
              <w:ind w:left="45" w:hanging="45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Bez mieszkania, w tym osoby zakwaterowane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placówkach dla bezdomnych,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schroniskach dla kobiet, schroniskach dla imigrantów, osoby opuszczające instytucje penitencjarne/karne/medyczne, instytucje opiekuńcze, osoby otrzymujące długookresowe wsparcie z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powodu bezdomności - specjalistyczne zakwaterowanie wspierane); </w:t>
            </w:r>
          </w:p>
          <w:p w14:paraId="14A3BF22" w14:textId="5E04E512" w:rsidR="00F01F0B" w:rsidRPr="00236549" w:rsidRDefault="00F01F0B" w:rsidP="004E4A6F">
            <w:pPr>
              <w:pStyle w:val="Default"/>
              <w:numPr>
                <w:ilvl w:val="0"/>
                <w:numId w:val="34"/>
              </w:numPr>
              <w:spacing w:before="60" w:after="120" w:line="276" w:lineRule="auto"/>
              <w:ind w:left="45" w:hanging="45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lastRenderedPageBreak/>
              <w:t>Niezabezpieczone zakwaterowanie, w tym osoby w lokalach niezabezpieczonych – przebywające czasowo u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rodziny/przyjaciół, tj. przebywające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68E833C5" w14:textId="415ACFEF" w:rsidR="00F01F0B" w:rsidRPr="00236549" w:rsidRDefault="00F01F0B" w:rsidP="004E4A6F">
            <w:pPr>
              <w:pStyle w:val="Default"/>
              <w:numPr>
                <w:ilvl w:val="0"/>
                <w:numId w:val="34"/>
              </w:numPr>
              <w:spacing w:before="60" w:after="120" w:line="276" w:lineRule="auto"/>
              <w:ind w:left="45" w:hanging="45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Nieodpowiednie warunki mieszkaniowe,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tym osoby zamieszkujące konstrukcje tymczasowe/nietrwałe, mieszkania </w:t>
            </w:r>
            <w:proofErr w:type="spellStart"/>
            <w:r w:rsidRPr="00236549">
              <w:rPr>
                <w:iCs/>
                <w:color w:val="auto"/>
              </w:rPr>
              <w:t>substandardowe</w:t>
            </w:r>
            <w:proofErr w:type="spellEnd"/>
            <w:r w:rsidRPr="00236549">
              <w:rPr>
                <w:iCs/>
                <w:color w:val="auto"/>
              </w:rPr>
              <w:t xml:space="preserve"> - lokale nienadające się do zamieszkania wg standardu krajowego,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warunkach skrajnego przeludnienia;</w:t>
            </w:r>
          </w:p>
          <w:p w14:paraId="2F170427" w14:textId="70E2B0DD" w:rsidR="00F01F0B" w:rsidRPr="00236549" w:rsidRDefault="00F01F0B" w:rsidP="004E4A6F">
            <w:pPr>
              <w:pStyle w:val="Default"/>
              <w:numPr>
                <w:ilvl w:val="0"/>
                <w:numId w:val="34"/>
              </w:numPr>
              <w:spacing w:before="60" w:after="120" w:line="276" w:lineRule="auto"/>
              <w:ind w:left="45" w:hanging="45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Osoby niezamieszkujące w lokalu mieszkalnym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rozumieniu przepisów o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ochronie praw lokatorów i mieszkaniowym zasobie gminy i niezameldowane na pobyt stały,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rozumieniu przepisów o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ewidencji ludności, </w:t>
            </w:r>
            <w:r w:rsidRPr="00236549">
              <w:rPr>
                <w:iCs/>
                <w:color w:val="auto"/>
              </w:rPr>
              <w:lastRenderedPageBreak/>
              <w:t>a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także osoby niezamieszkujące w lokalu mieszkalnym i zameldowaną na pobyt stały w lokalu, w którym nie ma możliwości zamieszkania.</w:t>
            </w:r>
          </w:p>
          <w:p w14:paraId="2107221D" w14:textId="21DEEA6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Osoby dorosłe mieszkające z rodzicami nie powinny być wykazywane we wskaźniku, chyba że wszystkie te osoby są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kryzysie bezdomności lub mieszkają w nieodpowiednich i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niebezpiecznych warunkach.</w:t>
            </w:r>
          </w:p>
          <w:p w14:paraId="29B47320" w14:textId="04610C39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przypadku, gdy </w:t>
            </w:r>
            <w:r w:rsidRPr="00236549">
              <w:rPr>
                <w:iCs/>
                <w:color w:val="auto"/>
              </w:rPr>
              <w:lastRenderedPageBreak/>
              <w:t>powiązane z nim dane osobowe nie są zbierane od uczestników. Beneficjent stosuje wtedy szacunki. Najlepiej, by szacunki dotyczące uczestników bezdomnych / wykluczonych z dostępu do mieszkań w ogólnej liczbie uczestników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 </w:t>
            </w:r>
          </w:p>
          <w:p w14:paraId="0AB15C22" w14:textId="58F442B8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Przynależność do grupy osób w kryzysie bezdomności lub dotkniętych wykluczeniem z dostępu do mieszkań określana jest w momencie rozpoczęcia udziału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projekcie, tj. w chwili rozpoczęcia udziału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pierwszej formie wsparcia w projekcie. </w:t>
            </w:r>
          </w:p>
          <w:p w14:paraId="51283F18" w14:textId="66F2301E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lastRenderedPageBreak/>
              <w:t>Zasady dotyczące możliwości wykorzystania wiarygodnych szacunków przez beneficjentów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danym naborze określane są przez właściwą dla programu Instytucję Zarządzającą</w:t>
            </w:r>
          </w:p>
        </w:tc>
      </w:tr>
      <w:tr w:rsidR="00F01F0B" w:rsidRPr="00236549" w14:paraId="2C4E70C5" w14:textId="77777777" w:rsidTr="00B869A9">
        <w:tc>
          <w:tcPr>
            <w:tcW w:w="391" w:type="pct"/>
            <w:shd w:val="clear" w:color="auto" w:fill="auto"/>
            <w:vAlign w:val="center"/>
          </w:tcPr>
          <w:p w14:paraId="537A05B8" w14:textId="0C11BD2B" w:rsidR="00F01F0B" w:rsidRPr="00B869A9" w:rsidRDefault="00F01F0B" w:rsidP="00B869A9">
            <w:pPr>
              <w:pStyle w:val="Akapitzlist"/>
              <w:numPr>
                <w:ilvl w:val="0"/>
                <w:numId w:val="31"/>
              </w:numPr>
              <w:spacing w:before="120" w:after="12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bookmarkStart w:id="11" w:name="_Hlk179970900"/>
            <w:bookmarkEnd w:id="10"/>
          </w:p>
        </w:tc>
        <w:tc>
          <w:tcPr>
            <w:tcW w:w="1178" w:type="pct"/>
            <w:shd w:val="clear" w:color="auto" w:fill="auto"/>
            <w:vAlign w:val="center"/>
          </w:tcPr>
          <w:p w14:paraId="0B3A566A" w14:textId="77777777" w:rsidR="00F01F0B" w:rsidRPr="00236549" w:rsidRDefault="00F01F0B" w:rsidP="004E4A6F">
            <w:pPr>
              <w:spacing w:before="240" w:after="0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Liczba objętych wsparciem podmiotów administracji publicznej lub służb publicznych na szczeblu krajowym, regionalnym lub lokalnym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5811C991" w14:textId="77777777" w:rsidR="00F01F0B" w:rsidRPr="00236549" w:rsidRDefault="00F01F0B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</w:rPr>
              <w:t>podmioty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3D6EAE32" w14:textId="3DD3C8CA" w:rsidR="00F01F0B" w:rsidRPr="00236549" w:rsidRDefault="008E01D0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iCs/>
                <w:sz w:val="24"/>
                <w:szCs w:val="24"/>
              </w:rPr>
              <w:t>Wskaźnik produktu</w:t>
            </w:r>
          </w:p>
        </w:tc>
        <w:tc>
          <w:tcPr>
            <w:tcW w:w="1723" w:type="pct"/>
            <w:shd w:val="clear" w:color="auto" w:fill="auto"/>
            <w:vAlign w:val="center"/>
          </w:tcPr>
          <w:p w14:paraId="5A1D8AEE" w14:textId="79E0957F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Za służby publiczne uznaje się publiczne lub prywatne podmioty, które świadczą usługi publiczne (w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przypadku usług publicznych zlecanych przez państwo podmiotom prywatnym lub świadczonych w ramach partnerstwa publiczno-prywatnego).</w:t>
            </w:r>
          </w:p>
          <w:p w14:paraId="3A67B357" w14:textId="4072D37E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Przez administrację publiczną rozumie się: administrację wykonawczą i prawodawczą na poziomie centralnym, regionalnym i lokalnym; administrację i nadzór nad sprawami podatkowymi (obsługa podatków; pobór cła / podatku od towarów i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</w:t>
            </w:r>
            <w:r w:rsidRPr="00236549">
              <w:rPr>
                <w:iCs/>
                <w:color w:val="auto"/>
              </w:rPr>
              <w:lastRenderedPageBreak/>
              <w:t>się sprawami obywatelskimi, polityką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zakresie badań i rozwoju oraz powiązanymi funduszami; administrację i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realizację  ogólnego planowania gospodarczego i społecznego oraz usług statystycznych na różnych szczeblach rządzenia.</w:t>
            </w:r>
          </w:p>
          <w:p w14:paraId="3757D325" w14:textId="75BB50F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Informacje dotyczące podmiotów objętych wsparciem powinny pochodzić z dokumentów administracyjnych np. z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umów o dofinansowanie.</w:t>
            </w:r>
          </w:p>
          <w:p w14:paraId="3F4BF14E" w14:textId="7777777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Do wskaźnika wliczane są tylko te podmioty, dla których można wyróżnić wydatki (nie dotyczy pomocy technicznej).</w:t>
            </w:r>
          </w:p>
          <w:p w14:paraId="5F752662" w14:textId="53A7814B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Podmiot jest wliczany do wskaźnika w momencie rozpoczęcia udziału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projekcie.</w:t>
            </w:r>
          </w:p>
        </w:tc>
      </w:tr>
      <w:tr w:rsidR="00F01F0B" w:rsidRPr="00236549" w14:paraId="493F3D11" w14:textId="77777777" w:rsidTr="00B869A9">
        <w:tc>
          <w:tcPr>
            <w:tcW w:w="391" w:type="pct"/>
            <w:shd w:val="clear" w:color="auto" w:fill="auto"/>
            <w:vAlign w:val="center"/>
          </w:tcPr>
          <w:p w14:paraId="5848F002" w14:textId="1F92CAA7" w:rsidR="00F01F0B" w:rsidRPr="00B869A9" w:rsidRDefault="00F01F0B" w:rsidP="00B869A9">
            <w:pPr>
              <w:pStyle w:val="Akapitzlist"/>
              <w:numPr>
                <w:ilvl w:val="0"/>
                <w:numId w:val="31"/>
              </w:numPr>
              <w:spacing w:before="120" w:after="120"/>
              <w:ind w:left="176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bookmarkStart w:id="12" w:name="_Hlk179970976"/>
            <w:bookmarkEnd w:id="11"/>
          </w:p>
        </w:tc>
        <w:tc>
          <w:tcPr>
            <w:tcW w:w="1178" w:type="pct"/>
            <w:shd w:val="clear" w:color="auto" w:fill="auto"/>
            <w:vAlign w:val="center"/>
          </w:tcPr>
          <w:p w14:paraId="012C70A5" w14:textId="7809BEA1" w:rsidR="00F01F0B" w:rsidRPr="00236549" w:rsidRDefault="00F01F0B" w:rsidP="004E4A6F">
            <w:pPr>
              <w:spacing w:before="240" w:after="0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Liczba objętych wsparciem mikro-, małych i</w:t>
            </w:r>
            <w:r w:rsidR="001D7A64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 </w:t>
            </w:r>
            <w:r w:rsidRPr="0023654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średnich przedsiębiorstw (w tym spółdzielni i przedsiębiorstw społecznych)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20EA1D58" w14:textId="77777777" w:rsidR="00F01F0B" w:rsidRPr="00236549" w:rsidRDefault="00F01F0B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36549">
              <w:rPr>
                <w:rFonts w:ascii="Arial" w:hAnsi="Arial" w:cs="Arial"/>
                <w:iCs/>
                <w:sz w:val="24"/>
                <w:szCs w:val="24"/>
              </w:rPr>
              <w:t>przedsiębiorstwa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507483AC" w14:textId="18F289A0" w:rsidR="00F01F0B" w:rsidRPr="00236549" w:rsidRDefault="00B34F3B" w:rsidP="004E4A6F">
            <w:pPr>
              <w:spacing w:before="240"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46040">
              <w:rPr>
                <w:rFonts w:ascii="Arial" w:hAnsi="Arial" w:cs="Arial"/>
                <w:iCs/>
                <w:sz w:val="24"/>
                <w:szCs w:val="24"/>
              </w:rPr>
              <w:t>Wskaźnik produktu</w:t>
            </w:r>
          </w:p>
        </w:tc>
        <w:tc>
          <w:tcPr>
            <w:tcW w:w="1723" w:type="pct"/>
            <w:shd w:val="clear" w:color="auto" w:fill="auto"/>
            <w:vAlign w:val="center"/>
          </w:tcPr>
          <w:p w14:paraId="20EC4680" w14:textId="7777777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2359529A" w14:textId="7777777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 xml:space="preserve">Na kategorię mikroprzedsiębiorstw oraz małych i średnich przedsiębiorstw (MMŚP) składają się przedsiębiorstwa, które zatrudniają mniej niż 250 </w:t>
            </w:r>
            <w:r w:rsidRPr="00236549">
              <w:rPr>
                <w:iCs/>
                <w:color w:val="auto"/>
              </w:rPr>
              <w:lastRenderedPageBreak/>
              <w:t>pracowników, których roczny obrót nie przekracza 50 milionów EUR lub roczna suma bilansowa nie przekracza 43 milionów EUR.</w:t>
            </w:r>
          </w:p>
          <w:p w14:paraId="34C296F7" w14:textId="1FADCE23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Definicje na podstawie: Zalecenie Komisji z dnia 6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maja 2003 r. dotyczące definicji mikroprzedsiębiorstw oraz małych i średnich przedsiębiorstw (2003/361/WE).</w:t>
            </w:r>
          </w:p>
          <w:p w14:paraId="28266456" w14:textId="7777777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Dodatkowe informacje:</w:t>
            </w:r>
          </w:p>
          <w:p w14:paraId="63E41294" w14:textId="77777777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W kategorii mikroprzedsiębiorstwa należy uwzględnić również osoby prowadzące działalność na własny rachunek.</w:t>
            </w:r>
          </w:p>
          <w:p w14:paraId="3FA9A1B7" w14:textId="680E8C3E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Tylko MMŚP, które korzystają bezpośrednio ze wsparcia powinny być uwzględniane do wskaźnika, tj. w przypadku, kiedy wsparcie jest kierowane do konkretnego przedsiębiorstwa. Jeżeli na przykład pracownik z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MMŚP z własnej inicjatywy uczestniczy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 xml:space="preserve">szkoleniu, nie należy tego uwzględniać we wskaźniku dotyczącym MMŚP, ponieważ jest to tylko wsparcie pośrednie dla przedsiębiorstwa. MMŚP będące jedynie beneficjentami projektu </w:t>
            </w:r>
            <w:r w:rsidRPr="00236549">
              <w:rPr>
                <w:iCs/>
                <w:color w:val="auto"/>
              </w:rPr>
              <w:lastRenderedPageBreak/>
              <w:t>także nie są odnotowywane w tym wskaźniku.</w:t>
            </w:r>
          </w:p>
          <w:p w14:paraId="69ADBD2C" w14:textId="2536888E" w:rsidR="00F01F0B" w:rsidRPr="00236549" w:rsidRDefault="00F01F0B" w:rsidP="004E4A6F">
            <w:pPr>
              <w:pStyle w:val="Default"/>
              <w:spacing w:before="60" w:after="120" w:line="276" w:lineRule="auto"/>
              <w:rPr>
                <w:iCs/>
                <w:color w:val="auto"/>
              </w:rPr>
            </w:pPr>
            <w:r w:rsidRPr="00236549">
              <w:rPr>
                <w:iCs/>
                <w:color w:val="auto"/>
              </w:rPr>
              <w:t>Podmiot jest wliczany do wskaźnika w momencie rozpoczęcia udziału w</w:t>
            </w:r>
            <w:r w:rsidR="001D7A64">
              <w:rPr>
                <w:iCs/>
                <w:color w:val="auto"/>
              </w:rPr>
              <w:t> </w:t>
            </w:r>
            <w:r w:rsidRPr="00236549">
              <w:rPr>
                <w:iCs/>
                <w:color w:val="auto"/>
              </w:rPr>
              <w:t>projekcie.</w:t>
            </w:r>
          </w:p>
        </w:tc>
      </w:tr>
      <w:bookmarkEnd w:id="12"/>
    </w:tbl>
    <w:p w14:paraId="1915B7D7" w14:textId="77777777" w:rsidR="00F01F0B" w:rsidRPr="00CB4029" w:rsidRDefault="00F01F0B" w:rsidP="007D5BB0">
      <w:pPr>
        <w:spacing w:after="240"/>
        <w:rPr>
          <w:rFonts w:ascii="Arial" w:hAnsi="Arial" w:cs="Arial"/>
          <w:sz w:val="24"/>
          <w:szCs w:val="24"/>
          <w:shd w:val="clear" w:color="auto" w:fill="FFFFFF"/>
        </w:rPr>
      </w:pPr>
    </w:p>
    <w:sectPr w:rsidR="00F01F0B" w:rsidRPr="00CB4029" w:rsidSect="007E6F97">
      <w:footerReference w:type="default" r:id="rId9"/>
      <w:headerReference w:type="first" r:id="rId10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70631" w14:textId="77777777" w:rsidR="00876A10" w:rsidRDefault="00876A10" w:rsidP="00C242A1">
      <w:pPr>
        <w:spacing w:after="0" w:line="240" w:lineRule="auto"/>
      </w:pPr>
      <w:r>
        <w:separator/>
      </w:r>
    </w:p>
  </w:endnote>
  <w:endnote w:type="continuationSeparator" w:id="0">
    <w:p w14:paraId="39F9C01B" w14:textId="77777777" w:rsidR="00876A10" w:rsidRDefault="00876A10" w:rsidP="00C242A1">
      <w:pPr>
        <w:spacing w:after="0" w:line="240" w:lineRule="auto"/>
      </w:pPr>
      <w:r>
        <w:continuationSeparator/>
      </w:r>
    </w:p>
  </w:endnote>
  <w:endnote w:type="continuationNotice" w:id="1">
    <w:p w14:paraId="1BDC2EEF" w14:textId="77777777" w:rsidR="00876A10" w:rsidRDefault="00876A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68239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EF9D36C" w14:textId="7F8EE11C" w:rsidR="00A25DC6" w:rsidRPr="00E229AB" w:rsidRDefault="003161F8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E229AB">
          <w:rPr>
            <w:rFonts w:ascii="Arial" w:hAnsi="Arial" w:cs="Arial"/>
            <w:sz w:val="24"/>
            <w:szCs w:val="24"/>
          </w:rPr>
          <w:fldChar w:fldCharType="begin"/>
        </w:r>
        <w:r w:rsidR="00267845" w:rsidRPr="00E229AB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E229AB">
          <w:rPr>
            <w:rFonts w:ascii="Arial" w:hAnsi="Arial" w:cs="Arial"/>
            <w:sz w:val="24"/>
            <w:szCs w:val="24"/>
          </w:rPr>
          <w:fldChar w:fldCharType="separate"/>
        </w:r>
        <w:r w:rsidR="00067202" w:rsidRPr="00E229AB">
          <w:rPr>
            <w:rFonts w:ascii="Arial" w:hAnsi="Arial" w:cs="Arial"/>
            <w:noProof/>
            <w:sz w:val="24"/>
            <w:szCs w:val="24"/>
          </w:rPr>
          <w:t>3</w:t>
        </w:r>
        <w:r w:rsidRPr="00E229AB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6130AC66" w14:textId="77777777" w:rsidR="00A25DC6" w:rsidRDefault="00A25D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CBC39" w14:textId="77777777" w:rsidR="00876A10" w:rsidRDefault="00876A10" w:rsidP="00C242A1">
      <w:pPr>
        <w:spacing w:after="0" w:line="240" w:lineRule="auto"/>
      </w:pPr>
      <w:r>
        <w:separator/>
      </w:r>
    </w:p>
  </w:footnote>
  <w:footnote w:type="continuationSeparator" w:id="0">
    <w:p w14:paraId="0B36CF1A" w14:textId="77777777" w:rsidR="00876A10" w:rsidRDefault="00876A10" w:rsidP="00C242A1">
      <w:pPr>
        <w:spacing w:after="0" w:line="240" w:lineRule="auto"/>
      </w:pPr>
      <w:r>
        <w:continuationSeparator/>
      </w:r>
    </w:p>
  </w:footnote>
  <w:footnote w:type="continuationNotice" w:id="1">
    <w:p w14:paraId="1C948F0E" w14:textId="77777777" w:rsidR="00876A10" w:rsidRDefault="00876A10">
      <w:pPr>
        <w:spacing w:after="0" w:line="240" w:lineRule="auto"/>
      </w:pPr>
    </w:p>
  </w:footnote>
  <w:footnote w:id="2">
    <w:p w14:paraId="67A25470" w14:textId="3CA9ED93" w:rsidR="0041270F" w:rsidRDefault="0041270F" w:rsidP="0041270F">
      <w:pPr>
        <w:pStyle w:val="Tekstprzypisudolnego"/>
      </w:pPr>
      <w:r>
        <w:rPr>
          <w:rStyle w:val="Odwoanieprzypisudolnego"/>
        </w:rPr>
        <w:footnoteRef/>
      </w:r>
      <w:r>
        <w:t xml:space="preserve"> Zgodnie z art. 2 ust. 1 ww. ustawy „Mniejszością narodową, w rozumieniu ustawy, jest grupa obywateli polskich, która spełnia łącznie następujące warunki:</w:t>
      </w:r>
    </w:p>
    <w:p w14:paraId="598E3CEE" w14:textId="77777777" w:rsidR="0041270F" w:rsidRDefault="0041270F" w:rsidP="0041270F">
      <w:pPr>
        <w:pStyle w:val="Tekstprzypisudolnego"/>
      </w:pPr>
      <w:r>
        <w:t>1) jest mniej liczebna od pozostałej części ludności Rzeczypospolitej Polskiej;</w:t>
      </w:r>
    </w:p>
    <w:p w14:paraId="40C4540C" w14:textId="77777777" w:rsidR="0041270F" w:rsidRDefault="0041270F" w:rsidP="0041270F">
      <w:pPr>
        <w:pStyle w:val="Tekstprzypisudolnego"/>
      </w:pPr>
      <w:r>
        <w:t>2) w sposób istotny odróżnia się od pozostałych obywateli językiem, kulturą lub tradycją;</w:t>
      </w:r>
    </w:p>
    <w:p w14:paraId="46D9252E" w14:textId="77777777" w:rsidR="0041270F" w:rsidRDefault="0041270F" w:rsidP="0041270F">
      <w:pPr>
        <w:pStyle w:val="Tekstprzypisudolnego"/>
      </w:pPr>
      <w:r>
        <w:t>3) dąży do zachowania swojego języka, kultury lub tradycji;</w:t>
      </w:r>
    </w:p>
    <w:p w14:paraId="137420DE" w14:textId="77777777" w:rsidR="0041270F" w:rsidRDefault="0041270F" w:rsidP="0041270F">
      <w:pPr>
        <w:pStyle w:val="Tekstprzypisudolnego"/>
      </w:pPr>
      <w:r>
        <w:t>4) ma świadomość własnej historycznej wspólnoty narodowej i jest ukierunkowana na jej wyrażanie i ochronę;</w:t>
      </w:r>
    </w:p>
    <w:p w14:paraId="691D9F3D" w14:textId="77777777" w:rsidR="0041270F" w:rsidRDefault="0041270F" w:rsidP="0041270F">
      <w:pPr>
        <w:pStyle w:val="Tekstprzypisudolnego"/>
      </w:pPr>
      <w:r>
        <w:t>5) jej przodkowie zamieszkiwali obecne terytorium Rzeczypospolitej Polskiej od co najmniej 100 lat;</w:t>
      </w:r>
    </w:p>
    <w:p w14:paraId="1B655256" w14:textId="66F81B27" w:rsidR="0041270F" w:rsidRDefault="0041270F" w:rsidP="0041270F">
      <w:pPr>
        <w:pStyle w:val="Tekstprzypisudolnego"/>
      </w:pPr>
      <w:r>
        <w:t>6) utożsamia się z narodem zorganizowanym we własnym państwie”.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F8E26" w14:textId="7D79880E" w:rsidR="00B03498" w:rsidRDefault="00B75B9E">
    <w:pPr>
      <w:pStyle w:val="Nagwek"/>
    </w:pPr>
    <w:r>
      <w:rPr>
        <w:noProof/>
      </w:rPr>
      <w:drawing>
        <wp:inline distT="0" distB="0" distL="0" distR="0" wp14:anchorId="2EC80CEE" wp14:editId="1930BAC3">
          <wp:extent cx="5760720" cy="612074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0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3"/>
    <w:multiLevelType w:val="hybridMultilevel"/>
    <w:tmpl w:val="AD24D554"/>
    <w:lvl w:ilvl="0" w:tplc="FFFFFFFF">
      <w:start w:val="2"/>
      <w:numFmt w:val="decimal"/>
      <w:lvlText w:val="%1."/>
      <w:lvlJc w:val="left"/>
    </w:lvl>
    <w:lvl w:ilvl="1" w:tplc="FFFFFFFF">
      <w:start w:val="1"/>
      <w:numFmt w:val="upperLetter"/>
      <w:lvlText w:val="%2"/>
      <w:lvlJc w:val="left"/>
    </w:lvl>
    <w:lvl w:ilvl="2" w:tplc="8572F39A">
      <w:start w:val="1"/>
      <w:numFmt w:val="bullet"/>
      <w:lvlText w:val="−"/>
      <w:lvlJc w:val="left"/>
      <w:rPr>
        <w:rFonts w:ascii="Calibri" w:hAnsi="Calibri" w:cs="Calibri" w:hint="default"/>
      </w:rPr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4"/>
    <w:multiLevelType w:val="hybridMultilevel"/>
    <w:tmpl w:val="21FE77BA"/>
    <w:lvl w:ilvl="0" w:tplc="840AFB40">
      <w:start w:val="1"/>
      <w:numFmt w:val="bullet"/>
      <w:lvlText w:val="−"/>
      <w:lvlJc w:val="left"/>
      <w:rPr>
        <w:rFonts w:ascii="Calibri" w:hAnsi="Calibri" w:cs="Calibri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851CD8"/>
    <w:multiLevelType w:val="hybridMultilevel"/>
    <w:tmpl w:val="4F8ADD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56031"/>
    <w:multiLevelType w:val="hybridMultilevel"/>
    <w:tmpl w:val="1CEE1F5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5537566"/>
    <w:multiLevelType w:val="hybridMultilevel"/>
    <w:tmpl w:val="59AC7552"/>
    <w:lvl w:ilvl="0" w:tplc="43CC3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55AB0"/>
    <w:multiLevelType w:val="hybridMultilevel"/>
    <w:tmpl w:val="A8065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77A90"/>
    <w:multiLevelType w:val="hybridMultilevel"/>
    <w:tmpl w:val="76C6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50C93"/>
    <w:multiLevelType w:val="hybridMultilevel"/>
    <w:tmpl w:val="8FDEC392"/>
    <w:lvl w:ilvl="0" w:tplc="6770C7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4352A"/>
    <w:multiLevelType w:val="hybridMultilevel"/>
    <w:tmpl w:val="785258E0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6256F"/>
    <w:multiLevelType w:val="hybridMultilevel"/>
    <w:tmpl w:val="B7304458"/>
    <w:lvl w:ilvl="0" w:tplc="534E7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C5AD3A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502F60"/>
    <w:multiLevelType w:val="hybridMultilevel"/>
    <w:tmpl w:val="9328D616"/>
    <w:lvl w:ilvl="0" w:tplc="E40E924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A736CB"/>
    <w:multiLevelType w:val="hybridMultilevel"/>
    <w:tmpl w:val="A446B084"/>
    <w:lvl w:ilvl="0" w:tplc="279CCF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8A29E3"/>
    <w:multiLevelType w:val="hybridMultilevel"/>
    <w:tmpl w:val="62BE80A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C484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C218B"/>
    <w:multiLevelType w:val="hybridMultilevel"/>
    <w:tmpl w:val="20060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589C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73D5C"/>
    <w:multiLevelType w:val="hybridMultilevel"/>
    <w:tmpl w:val="67129CF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C6A4D"/>
    <w:multiLevelType w:val="hybridMultilevel"/>
    <w:tmpl w:val="B678876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28C5788"/>
    <w:multiLevelType w:val="hybridMultilevel"/>
    <w:tmpl w:val="A6D6D4DA"/>
    <w:lvl w:ilvl="0" w:tplc="67C420BC">
      <w:start w:val="8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B0D67"/>
    <w:multiLevelType w:val="hybridMultilevel"/>
    <w:tmpl w:val="D9BEF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64C41"/>
    <w:multiLevelType w:val="hybridMultilevel"/>
    <w:tmpl w:val="9F727DF2"/>
    <w:lvl w:ilvl="0" w:tplc="1812BE14">
      <w:start w:val="1"/>
      <w:numFmt w:val="decimal"/>
      <w:lvlText w:val="%1."/>
      <w:lvlJc w:val="left"/>
      <w:rPr>
        <w:rFonts w:cs="Times New Roman" w:hint="default"/>
        <w:b w:val="0"/>
        <w:i w:val="0"/>
        <w:color w:val="auto"/>
        <w:sz w:val="24"/>
        <w:szCs w:val="24"/>
      </w:rPr>
    </w:lvl>
    <w:lvl w:ilvl="1" w:tplc="D370074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520863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sz w:val="22"/>
        <w:szCs w:val="22"/>
      </w:rPr>
    </w:lvl>
    <w:lvl w:ilvl="3" w:tplc="F1B0A982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DCD45B08">
      <w:numFmt w:val="bullet"/>
      <w:lvlText w:val="•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9C5CC2"/>
    <w:multiLevelType w:val="hybridMultilevel"/>
    <w:tmpl w:val="AA503418"/>
    <w:lvl w:ilvl="0" w:tplc="00000012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220481"/>
    <w:multiLevelType w:val="hybridMultilevel"/>
    <w:tmpl w:val="D57A6700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174A0"/>
    <w:multiLevelType w:val="hybridMultilevel"/>
    <w:tmpl w:val="6AD033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DA1179"/>
    <w:multiLevelType w:val="hybridMultilevel"/>
    <w:tmpl w:val="F7E4ABF0"/>
    <w:lvl w:ilvl="0" w:tplc="43CC3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3670E"/>
    <w:multiLevelType w:val="hybridMultilevel"/>
    <w:tmpl w:val="B2F05668"/>
    <w:lvl w:ilvl="0" w:tplc="2EA03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E26ACD"/>
    <w:multiLevelType w:val="hybridMultilevel"/>
    <w:tmpl w:val="8964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9A366A"/>
    <w:multiLevelType w:val="hybridMultilevel"/>
    <w:tmpl w:val="3E546B90"/>
    <w:lvl w:ilvl="0" w:tplc="0415000F">
      <w:start w:val="1"/>
      <w:numFmt w:val="decimal"/>
      <w:lvlText w:val="%1."/>
      <w:lvlJc w:val="left"/>
      <w:pPr>
        <w:ind w:left="884" w:hanging="360"/>
      </w:pPr>
    </w:lvl>
    <w:lvl w:ilvl="1" w:tplc="04150019" w:tentative="1">
      <w:start w:val="1"/>
      <w:numFmt w:val="lowerLetter"/>
      <w:lvlText w:val="%2."/>
      <w:lvlJc w:val="left"/>
      <w:pPr>
        <w:ind w:left="1604" w:hanging="360"/>
      </w:pPr>
    </w:lvl>
    <w:lvl w:ilvl="2" w:tplc="0415001B" w:tentative="1">
      <w:start w:val="1"/>
      <w:numFmt w:val="lowerRoman"/>
      <w:lvlText w:val="%3."/>
      <w:lvlJc w:val="right"/>
      <w:pPr>
        <w:ind w:left="2324" w:hanging="180"/>
      </w:pPr>
    </w:lvl>
    <w:lvl w:ilvl="3" w:tplc="0415000F" w:tentative="1">
      <w:start w:val="1"/>
      <w:numFmt w:val="decimal"/>
      <w:lvlText w:val="%4."/>
      <w:lvlJc w:val="left"/>
      <w:pPr>
        <w:ind w:left="3044" w:hanging="360"/>
      </w:pPr>
    </w:lvl>
    <w:lvl w:ilvl="4" w:tplc="04150019" w:tentative="1">
      <w:start w:val="1"/>
      <w:numFmt w:val="lowerLetter"/>
      <w:lvlText w:val="%5."/>
      <w:lvlJc w:val="left"/>
      <w:pPr>
        <w:ind w:left="3764" w:hanging="360"/>
      </w:pPr>
    </w:lvl>
    <w:lvl w:ilvl="5" w:tplc="0415001B" w:tentative="1">
      <w:start w:val="1"/>
      <w:numFmt w:val="lowerRoman"/>
      <w:lvlText w:val="%6."/>
      <w:lvlJc w:val="right"/>
      <w:pPr>
        <w:ind w:left="4484" w:hanging="180"/>
      </w:pPr>
    </w:lvl>
    <w:lvl w:ilvl="6" w:tplc="0415000F" w:tentative="1">
      <w:start w:val="1"/>
      <w:numFmt w:val="decimal"/>
      <w:lvlText w:val="%7."/>
      <w:lvlJc w:val="left"/>
      <w:pPr>
        <w:ind w:left="5204" w:hanging="360"/>
      </w:pPr>
    </w:lvl>
    <w:lvl w:ilvl="7" w:tplc="04150019" w:tentative="1">
      <w:start w:val="1"/>
      <w:numFmt w:val="lowerLetter"/>
      <w:lvlText w:val="%8."/>
      <w:lvlJc w:val="left"/>
      <w:pPr>
        <w:ind w:left="5924" w:hanging="360"/>
      </w:pPr>
    </w:lvl>
    <w:lvl w:ilvl="8" w:tplc="0415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28" w15:restartNumberingAfterBreak="0">
    <w:nsid w:val="50422968"/>
    <w:multiLevelType w:val="hybridMultilevel"/>
    <w:tmpl w:val="1AA80480"/>
    <w:lvl w:ilvl="0" w:tplc="20BE9E2A">
      <w:start w:val="1"/>
      <w:numFmt w:val="lowerLetter"/>
      <w:lvlText w:val="%1)"/>
      <w:lvlJc w:val="left"/>
      <w:pPr>
        <w:ind w:left="108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450DD"/>
    <w:multiLevelType w:val="hybridMultilevel"/>
    <w:tmpl w:val="7A28AB94"/>
    <w:lvl w:ilvl="0" w:tplc="3F62134E">
      <w:start w:val="1"/>
      <w:numFmt w:val="decimal"/>
      <w:lvlText w:val="%1."/>
      <w:lvlJc w:val="left"/>
      <w:pPr>
        <w:ind w:left="568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C133CB"/>
    <w:multiLevelType w:val="hybridMultilevel"/>
    <w:tmpl w:val="BF523580"/>
    <w:lvl w:ilvl="0" w:tplc="66509FB8">
      <w:start w:val="1"/>
      <w:numFmt w:val="decimal"/>
      <w:lvlText w:val="%1."/>
      <w:lvlJc w:val="left"/>
      <w:pPr>
        <w:ind w:left="0" w:firstLine="4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31" w15:restartNumberingAfterBreak="0">
    <w:nsid w:val="5C7F3D9E"/>
    <w:multiLevelType w:val="hybridMultilevel"/>
    <w:tmpl w:val="45D698A8"/>
    <w:lvl w:ilvl="0" w:tplc="EF94B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4D69D4"/>
    <w:multiLevelType w:val="hybridMultilevel"/>
    <w:tmpl w:val="8024855C"/>
    <w:lvl w:ilvl="0" w:tplc="AD88C6D0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3" w15:restartNumberingAfterBreak="0">
    <w:nsid w:val="5E5E7F18"/>
    <w:multiLevelType w:val="hybridMultilevel"/>
    <w:tmpl w:val="E4202F44"/>
    <w:lvl w:ilvl="0" w:tplc="FFFFFFF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23EBB"/>
    <w:multiLevelType w:val="hybridMultilevel"/>
    <w:tmpl w:val="C7940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E25F9"/>
    <w:multiLevelType w:val="hybridMultilevel"/>
    <w:tmpl w:val="17A804BC"/>
    <w:lvl w:ilvl="0" w:tplc="00000012">
      <w:start w:val="1"/>
      <w:numFmt w:val="bullet"/>
      <w:lvlText w:val="–"/>
      <w:lvlJc w:val="left"/>
      <w:pPr>
        <w:ind w:left="108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75739B"/>
    <w:multiLevelType w:val="hybridMultilevel"/>
    <w:tmpl w:val="E432EC9E"/>
    <w:lvl w:ilvl="0" w:tplc="000000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761C1A"/>
    <w:multiLevelType w:val="hybridMultilevel"/>
    <w:tmpl w:val="76F06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9A440C"/>
    <w:multiLevelType w:val="hybridMultilevel"/>
    <w:tmpl w:val="9852F78E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9" w15:restartNumberingAfterBreak="0">
    <w:nsid w:val="6FE27520"/>
    <w:multiLevelType w:val="hybridMultilevel"/>
    <w:tmpl w:val="6B3EAF9E"/>
    <w:lvl w:ilvl="0" w:tplc="5E78A0EC">
      <w:start w:val="1"/>
      <w:numFmt w:val="decimal"/>
      <w:lvlText w:val="%1."/>
      <w:lvlJc w:val="left"/>
      <w:pPr>
        <w:ind w:left="0" w:firstLine="4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37D4FE8"/>
    <w:multiLevelType w:val="multilevel"/>
    <w:tmpl w:val="5BB22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8B656D"/>
    <w:multiLevelType w:val="hybridMultilevel"/>
    <w:tmpl w:val="D348F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43691E"/>
    <w:multiLevelType w:val="hybridMultilevel"/>
    <w:tmpl w:val="0090E508"/>
    <w:lvl w:ilvl="0" w:tplc="8ADEE580">
      <w:start w:val="1"/>
      <w:numFmt w:val="low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DC397C"/>
    <w:multiLevelType w:val="hybridMultilevel"/>
    <w:tmpl w:val="2F9274E2"/>
    <w:lvl w:ilvl="0" w:tplc="000000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E6FD0"/>
    <w:multiLevelType w:val="hybridMultilevel"/>
    <w:tmpl w:val="76A2A072"/>
    <w:lvl w:ilvl="0" w:tplc="B5D2CE84">
      <w:start w:val="8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D6445"/>
    <w:multiLevelType w:val="hybridMultilevel"/>
    <w:tmpl w:val="00C83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3066B"/>
    <w:multiLevelType w:val="hybridMultilevel"/>
    <w:tmpl w:val="C5F49958"/>
    <w:lvl w:ilvl="0" w:tplc="EF94B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128754">
    <w:abstractNumId w:val="11"/>
  </w:num>
  <w:num w:numId="2" w16cid:durableId="1552420077">
    <w:abstractNumId w:val="34"/>
  </w:num>
  <w:num w:numId="3" w16cid:durableId="1331251518">
    <w:abstractNumId w:val="24"/>
  </w:num>
  <w:num w:numId="4" w16cid:durableId="1747802916">
    <w:abstractNumId w:val="4"/>
  </w:num>
  <w:num w:numId="5" w16cid:durableId="427392320">
    <w:abstractNumId w:val="1"/>
  </w:num>
  <w:num w:numId="6" w16cid:durableId="1155025022">
    <w:abstractNumId w:val="0"/>
  </w:num>
  <w:num w:numId="7" w16cid:durableId="401947441">
    <w:abstractNumId w:val="36"/>
  </w:num>
  <w:num w:numId="8" w16cid:durableId="1548756843">
    <w:abstractNumId w:val="5"/>
  </w:num>
  <w:num w:numId="9" w16cid:durableId="919145155">
    <w:abstractNumId w:val="46"/>
  </w:num>
  <w:num w:numId="10" w16cid:durableId="856312234">
    <w:abstractNumId w:val="31"/>
  </w:num>
  <w:num w:numId="11" w16cid:durableId="1435856042">
    <w:abstractNumId w:val="28"/>
  </w:num>
  <w:num w:numId="12" w16cid:durableId="103505439">
    <w:abstractNumId w:val="42"/>
  </w:num>
  <w:num w:numId="13" w16cid:durableId="430441982">
    <w:abstractNumId w:val="22"/>
  </w:num>
  <w:num w:numId="14" w16cid:durableId="1104037520">
    <w:abstractNumId w:val="41"/>
  </w:num>
  <w:num w:numId="15" w16cid:durableId="484128804">
    <w:abstractNumId w:val="8"/>
  </w:num>
  <w:num w:numId="16" w16cid:durableId="958493559">
    <w:abstractNumId w:val="21"/>
  </w:num>
  <w:num w:numId="17" w16cid:durableId="1442845481">
    <w:abstractNumId w:val="43"/>
  </w:num>
  <w:num w:numId="18" w16cid:durableId="720906368">
    <w:abstractNumId w:val="35"/>
  </w:num>
  <w:num w:numId="19" w16cid:durableId="1568374766">
    <w:abstractNumId w:val="12"/>
  </w:num>
  <w:num w:numId="20" w16cid:durableId="983001526">
    <w:abstractNumId w:val="16"/>
  </w:num>
  <w:num w:numId="21" w16cid:durableId="1835795801">
    <w:abstractNumId w:val="32"/>
  </w:num>
  <w:num w:numId="22" w16cid:durableId="1550267592">
    <w:abstractNumId w:val="10"/>
  </w:num>
  <w:num w:numId="23" w16cid:durableId="1509979834">
    <w:abstractNumId w:val="14"/>
  </w:num>
  <w:num w:numId="24" w16cid:durableId="725684484">
    <w:abstractNumId w:val="2"/>
  </w:num>
  <w:num w:numId="25" w16cid:durableId="755328849">
    <w:abstractNumId w:val="37"/>
  </w:num>
  <w:num w:numId="26" w16cid:durableId="72551140">
    <w:abstractNumId w:val="6"/>
  </w:num>
  <w:num w:numId="27" w16cid:durableId="1240286821">
    <w:abstractNumId w:val="23"/>
  </w:num>
  <w:num w:numId="28" w16cid:durableId="1304652938">
    <w:abstractNumId w:val="27"/>
  </w:num>
  <w:num w:numId="29" w16cid:durableId="788008322">
    <w:abstractNumId w:val="30"/>
  </w:num>
  <w:num w:numId="30" w16cid:durableId="1601142725">
    <w:abstractNumId w:val="39"/>
  </w:num>
  <w:num w:numId="31" w16cid:durableId="1793358190">
    <w:abstractNumId w:val="29"/>
  </w:num>
  <w:num w:numId="32" w16cid:durableId="331026218">
    <w:abstractNumId w:val="45"/>
  </w:num>
  <w:num w:numId="33" w16cid:durableId="617447112">
    <w:abstractNumId w:val="3"/>
  </w:num>
  <w:num w:numId="34" w16cid:durableId="837383823">
    <w:abstractNumId w:val="7"/>
  </w:num>
  <w:num w:numId="35" w16cid:durableId="1391540729">
    <w:abstractNumId w:val="9"/>
  </w:num>
  <w:num w:numId="36" w16cid:durableId="1405224778">
    <w:abstractNumId w:val="26"/>
  </w:num>
  <w:num w:numId="37" w16cid:durableId="453865665">
    <w:abstractNumId w:val="17"/>
  </w:num>
  <w:num w:numId="38" w16cid:durableId="2040079680">
    <w:abstractNumId w:val="38"/>
  </w:num>
  <w:num w:numId="39" w16cid:durableId="1481655336">
    <w:abstractNumId w:val="15"/>
  </w:num>
  <w:num w:numId="40" w16cid:durableId="1555311138">
    <w:abstractNumId w:val="13"/>
  </w:num>
  <w:num w:numId="41" w16cid:durableId="683745923">
    <w:abstractNumId w:val="25"/>
  </w:num>
  <w:num w:numId="42" w16cid:durableId="378212282">
    <w:abstractNumId w:val="44"/>
  </w:num>
  <w:num w:numId="43" w16cid:durableId="492071291">
    <w:abstractNumId w:val="33"/>
  </w:num>
  <w:num w:numId="44" w16cid:durableId="214976601">
    <w:abstractNumId w:val="18"/>
  </w:num>
  <w:num w:numId="45" w16cid:durableId="1760174153">
    <w:abstractNumId w:val="20"/>
  </w:num>
  <w:num w:numId="46" w16cid:durableId="441800817">
    <w:abstractNumId w:val="19"/>
  </w:num>
  <w:num w:numId="47" w16cid:durableId="183726506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7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70C"/>
    <w:rsid w:val="000004C8"/>
    <w:rsid w:val="0000342A"/>
    <w:rsid w:val="00010142"/>
    <w:rsid w:val="00010253"/>
    <w:rsid w:val="000125F7"/>
    <w:rsid w:val="000148FA"/>
    <w:rsid w:val="00015F32"/>
    <w:rsid w:val="00024127"/>
    <w:rsid w:val="00026B2E"/>
    <w:rsid w:val="000323CF"/>
    <w:rsid w:val="000343D0"/>
    <w:rsid w:val="00037C18"/>
    <w:rsid w:val="000405F5"/>
    <w:rsid w:val="00042D31"/>
    <w:rsid w:val="00045FC3"/>
    <w:rsid w:val="000511A7"/>
    <w:rsid w:val="00053A82"/>
    <w:rsid w:val="00054B2B"/>
    <w:rsid w:val="00062958"/>
    <w:rsid w:val="000639B1"/>
    <w:rsid w:val="000661CA"/>
    <w:rsid w:val="00066A92"/>
    <w:rsid w:val="00067202"/>
    <w:rsid w:val="000679F9"/>
    <w:rsid w:val="00071239"/>
    <w:rsid w:val="00071F7A"/>
    <w:rsid w:val="00074FE3"/>
    <w:rsid w:val="00085FCD"/>
    <w:rsid w:val="00091B4D"/>
    <w:rsid w:val="000923C8"/>
    <w:rsid w:val="0009266A"/>
    <w:rsid w:val="0009364F"/>
    <w:rsid w:val="0009529E"/>
    <w:rsid w:val="00097D84"/>
    <w:rsid w:val="000A0D01"/>
    <w:rsid w:val="000A11DB"/>
    <w:rsid w:val="000A1F5B"/>
    <w:rsid w:val="000A32D9"/>
    <w:rsid w:val="000A34D0"/>
    <w:rsid w:val="000A7145"/>
    <w:rsid w:val="000B15E9"/>
    <w:rsid w:val="000B4431"/>
    <w:rsid w:val="000B5864"/>
    <w:rsid w:val="000B71E2"/>
    <w:rsid w:val="000C128D"/>
    <w:rsid w:val="000C6F5B"/>
    <w:rsid w:val="000E0F63"/>
    <w:rsid w:val="000E6885"/>
    <w:rsid w:val="000F111D"/>
    <w:rsid w:val="00103F6B"/>
    <w:rsid w:val="00105078"/>
    <w:rsid w:val="00106096"/>
    <w:rsid w:val="001072DD"/>
    <w:rsid w:val="00112268"/>
    <w:rsid w:val="00112F40"/>
    <w:rsid w:val="001131E1"/>
    <w:rsid w:val="001140A0"/>
    <w:rsid w:val="00115940"/>
    <w:rsid w:val="0011619C"/>
    <w:rsid w:val="00117B3D"/>
    <w:rsid w:val="00117F85"/>
    <w:rsid w:val="00122D6A"/>
    <w:rsid w:val="00123A30"/>
    <w:rsid w:val="00124B5C"/>
    <w:rsid w:val="0013037F"/>
    <w:rsid w:val="00131DB0"/>
    <w:rsid w:val="0013402B"/>
    <w:rsid w:val="001341B6"/>
    <w:rsid w:val="001347AE"/>
    <w:rsid w:val="00135393"/>
    <w:rsid w:val="001369DA"/>
    <w:rsid w:val="00141EA3"/>
    <w:rsid w:val="00142282"/>
    <w:rsid w:val="00142E6B"/>
    <w:rsid w:val="00150F98"/>
    <w:rsid w:val="00152833"/>
    <w:rsid w:val="00152D03"/>
    <w:rsid w:val="00153157"/>
    <w:rsid w:val="00154860"/>
    <w:rsid w:val="00174A37"/>
    <w:rsid w:val="00180109"/>
    <w:rsid w:val="00181D41"/>
    <w:rsid w:val="001844B2"/>
    <w:rsid w:val="0018513C"/>
    <w:rsid w:val="0018543C"/>
    <w:rsid w:val="001907AD"/>
    <w:rsid w:val="00194C08"/>
    <w:rsid w:val="00196A86"/>
    <w:rsid w:val="001A43A9"/>
    <w:rsid w:val="001B05E6"/>
    <w:rsid w:val="001B4A8A"/>
    <w:rsid w:val="001D117C"/>
    <w:rsid w:val="001D342F"/>
    <w:rsid w:val="001D432B"/>
    <w:rsid w:val="001D7A64"/>
    <w:rsid w:val="001E0712"/>
    <w:rsid w:val="001E4F82"/>
    <w:rsid w:val="001E7787"/>
    <w:rsid w:val="00200751"/>
    <w:rsid w:val="00200937"/>
    <w:rsid w:val="00201571"/>
    <w:rsid w:val="002023F3"/>
    <w:rsid w:val="00202905"/>
    <w:rsid w:val="00202CA8"/>
    <w:rsid w:val="00204795"/>
    <w:rsid w:val="00204EE8"/>
    <w:rsid w:val="00205940"/>
    <w:rsid w:val="00205B17"/>
    <w:rsid w:val="00206994"/>
    <w:rsid w:val="002074F7"/>
    <w:rsid w:val="00207989"/>
    <w:rsid w:val="00212A23"/>
    <w:rsid w:val="00212A76"/>
    <w:rsid w:val="00212A9C"/>
    <w:rsid w:val="00212B13"/>
    <w:rsid w:val="002147A3"/>
    <w:rsid w:val="002164C9"/>
    <w:rsid w:val="00216CE9"/>
    <w:rsid w:val="00220113"/>
    <w:rsid w:val="00226DB6"/>
    <w:rsid w:val="00236259"/>
    <w:rsid w:val="00236549"/>
    <w:rsid w:val="00241F26"/>
    <w:rsid w:val="00244038"/>
    <w:rsid w:val="00245713"/>
    <w:rsid w:val="00255B3A"/>
    <w:rsid w:val="00262098"/>
    <w:rsid w:val="00262EB8"/>
    <w:rsid w:val="00263457"/>
    <w:rsid w:val="002644F1"/>
    <w:rsid w:val="00265F5C"/>
    <w:rsid w:val="002666C9"/>
    <w:rsid w:val="00267845"/>
    <w:rsid w:val="00270F19"/>
    <w:rsid w:val="00276399"/>
    <w:rsid w:val="00277504"/>
    <w:rsid w:val="00280305"/>
    <w:rsid w:val="00293DEA"/>
    <w:rsid w:val="00294668"/>
    <w:rsid w:val="00294B3D"/>
    <w:rsid w:val="00294DE3"/>
    <w:rsid w:val="00297792"/>
    <w:rsid w:val="002B2306"/>
    <w:rsid w:val="002B7871"/>
    <w:rsid w:val="002C218B"/>
    <w:rsid w:val="002C5096"/>
    <w:rsid w:val="002D14D7"/>
    <w:rsid w:val="002D2481"/>
    <w:rsid w:val="002D3074"/>
    <w:rsid w:val="002D5019"/>
    <w:rsid w:val="002D7137"/>
    <w:rsid w:val="002E0A56"/>
    <w:rsid w:val="002E2BD3"/>
    <w:rsid w:val="002E50CC"/>
    <w:rsid w:val="002E78B9"/>
    <w:rsid w:val="002F1716"/>
    <w:rsid w:val="002F2CEA"/>
    <w:rsid w:val="002F5824"/>
    <w:rsid w:val="002F717F"/>
    <w:rsid w:val="003011B1"/>
    <w:rsid w:val="003036CF"/>
    <w:rsid w:val="00305428"/>
    <w:rsid w:val="00312FCB"/>
    <w:rsid w:val="00314207"/>
    <w:rsid w:val="003157C2"/>
    <w:rsid w:val="00315987"/>
    <w:rsid w:val="003161F8"/>
    <w:rsid w:val="00316BB6"/>
    <w:rsid w:val="003205D0"/>
    <w:rsid w:val="00320C7D"/>
    <w:rsid w:val="00333005"/>
    <w:rsid w:val="00336E32"/>
    <w:rsid w:val="003417A8"/>
    <w:rsid w:val="00343871"/>
    <w:rsid w:val="00344172"/>
    <w:rsid w:val="00350179"/>
    <w:rsid w:val="00350D27"/>
    <w:rsid w:val="00357785"/>
    <w:rsid w:val="00357A41"/>
    <w:rsid w:val="00357F86"/>
    <w:rsid w:val="00361C10"/>
    <w:rsid w:val="00362428"/>
    <w:rsid w:val="003658C4"/>
    <w:rsid w:val="00366BC7"/>
    <w:rsid w:val="00367F79"/>
    <w:rsid w:val="0037143B"/>
    <w:rsid w:val="003736E7"/>
    <w:rsid w:val="00373A34"/>
    <w:rsid w:val="00377A85"/>
    <w:rsid w:val="00384C55"/>
    <w:rsid w:val="0039053D"/>
    <w:rsid w:val="00395FAD"/>
    <w:rsid w:val="003969F7"/>
    <w:rsid w:val="003A3454"/>
    <w:rsid w:val="003A6ED3"/>
    <w:rsid w:val="003A6FBC"/>
    <w:rsid w:val="003A76D5"/>
    <w:rsid w:val="003B06F0"/>
    <w:rsid w:val="003B2B0F"/>
    <w:rsid w:val="003C2926"/>
    <w:rsid w:val="003C33C8"/>
    <w:rsid w:val="003C607D"/>
    <w:rsid w:val="003D250C"/>
    <w:rsid w:val="003D3BAD"/>
    <w:rsid w:val="003D466F"/>
    <w:rsid w:val="003E0E93"/>
    <w:rsid w:val="003E14EC"/>
    <w:rsid w:val="003E7BCC"/>
    <w:rsid w:val="003F0BC2"/>
    <w:rsid w:val="003F2CF8"/>
    <w:rsid w:val="003F302B"/>
    <w:rsid w:val="003F3CCF"/>
    <w:rsid w:val="004010BA"/>
    <w:rsid w:val="00402D62"/>
    <w:rsid w:val="0040383C"/>
    <w:rsid w:val="004047AB"/>
    <w:rsid w:val="00411555"/>
    <w:rsid w:val="0041270F"/>
    <w:rsid w:val="00413200"/>
    <w:rsid w:val="004151DC"/>
    <w:rsid w:val="004172BB"/>
    <w:rsid w:val="004176E9"/>
    <w:rsid w:val="004251DB"/>
    <w:rsid w:val="00440CB0"/>
    <w:rsid w:val="00441CEE"/>
    <w:rsid w:val="004422FD"/>
    <w:rsid w:val="004423A6"/>
    <w:rsid w:val="00445125"/>
    <w:rsid w:val="00445EA0"/>
    <w:rsid w:val="004530DB"/>
    <w:rsid w:val="00453E9F"/>
    <w:rsid w:val="00456AD0"/>
    <w:rsid w:val="004628E3"/>
    <w:rsid w:val="004644CD"/>
    <w:rsid w:val="00464E3A"/>
    <w:rsid w:val="00466E7A"/>
    <w:rsid w:val="00467F8B"/>
    <w:rsid w:val="0047460B"/>
    <w:rsid w:val="004833C4"/>
    <w:rsid w:val="00483637"/>
    <w:rsid w:val="00486B48"/>
    <w:rsid w:val="00487FC7"/>
    <w:rsid w:val="0049085D"/>
    <w:rsid w:val="00497C72"/>
    <w:rsid w:val="004A1076"/>
    <w:rsid w:val="004A1521"/>
    <w:rsid w:val="004A5787"/>
    <w:rsid w:val="004B4DD1"/>
    <w:rsid w:val="004B5325"/>
    <w:rsid w:val="004B6B8C"/>
    <w:rsid w:val="004C2560"/>
    <w:rsid w:val="004C4368"/>
    <w:rsid w:val="004C775B"/>
    <w:rsid w:val="004D3726"/>
    <w:rsid w:val="004D3DB7"/>
    <w:rsid w:val="004D4EED"/>
    <w:rsid w:val="004D6B55"/>
    <w:rsid w:val="004D7875"/>
    <w:rsid w:val="004E335A"/>
    <w:rsid w:val="004F0D47"/>
    <w:rsid w:val="004F0F86"/>
    <w:rsid w:val="004F219A"/>
    <w:rsid w:val="004F2A31"/>
    <w:rsid w:val="004F2D8A"/>
    <w:rsid w:val="004F3011"/>
    <w:rsid w:val="00502C3E"/>
    <w:rsid w:val="005038D5"/>
    <w:rsid w:val="00505B1F"/>
    <w:rsid w:val="00507C37"/>
    <w:rsid w:val="005164CB"/>
    <w:rsid w:val="00520B79"/>
    <w:rsid w:val="00522776"/>
    <w:rsid w:val="00522D7A"/>
    <w:rsid w:val="005232B9"/>
    <w:rsid w:val="0053107F"/>
    <w:rsid w:val="00531D43"/>
    <w:rsid w:val="00547371"/>
    <w:rsid w:val="0055488F"/>
    <w:rsid w:val="00561D6E"/>
    <w:rsid w:val="005630FB"/>
    <w:rsid w:val="005632EB"/>
    <w:rsid w:val="0056444E"/>
    <w:rsid w:val="00572A1D"/>
    <w:rsid w:val="00573FF3"/>
    <w:rsid w:val="00580921"/>
    <w:rsid w:val="005862F9"/>
    <w:rsid w:val="00586E63"/>
    <w:rsid w:val="005937A0"/>
    <w:rsid w:val="00593BFD"/>
    <w:rsid w:val="005952DC"/>
    <w:rsid w:val="005A54FF"/>
    <w:rsid w:val="005A778B"/>
    <w:rsid w:val="005B02CF"/>
    <w:rsid w:val="005C2750"/>
    <w:rsid w:val="005C4B25"/>
    <w:rsid w:val="005D046D"/>
    <w:rsid w:val="005D0BFB"/>
    <w:rsid w:val="005D2214"/>
    <w:rsid w:val="005D279F"/>
    <w:rsid w:val="005D4BB0"/>
    <w:rsid w:val="005E0AD8"/>
    <w:rsid w:val="005F0E74"/>
    <w:rsid w:val="005F43F0"/>
    <w:rsid w:val="005F45A0"/>
    <w:rsid w:val="005F7456"/>
    <w:rsid w:val="00604773"/>
    <w:rsid w:val="00610304"/>
    <w:rsid w:val="00610C04"/>
    <w:rsid w:val="00611290"/>
    <w:rsid w:val="0061131D"/>
    <w:rsid w:val="006133EC"/>
    <w:rsid w:val="00613753"/>
    <w:rsid w:val="006150A6"/>
    <w:rsid w:val="00622E0F"/>
    <w:rsid w:val="0063017E"/>
    <w:rsid w:val="00631AC2"/>
    <w:rsid w:val="00632101"/>
    <w:rsid w:val="0063253C"/>
    <w:rsid w:val="0063272E"/>
    <w:rsid w:val="00634B0C"/>
    <w:rsid w:val="00637B51"/>
    <w:rsid w:val="006441B4"/>
    <w:rsid w:val="00645E4B"/>
    <w:rsid w:val="00650795"/>
    <w:rsid w:val="00652861"/>
    <w:rsid w:val="006535B8"/>
    <w:rsid w:val="00653D57"/>
    <w:rsid w:val="00654E68"/>
    <w:rsid w:val="006571CA"/>
    <w:rsid w:val="006648B0"/>
    <w:rsid w:val="00670DAC"/>
    <w:rsid w:val="00671A1B"/>
    <w:rsid w:val="00675212"/>
    <w:rsid w:val="00677C03"/>
    <w:rsid w:val="0068194C"/>
    <w:rsid w:val="00683637"/>
    <w:rsid w:val="006863FA"/>
    <w:rsid w:val="0068776B"/>
    <w:rsid w:val="0068799E"/>
    <w:rsid w:val="00691FAA"/>
    <w:rsid w:val="006945BC"/>
    <w:rsid w:val="006A144D"/>
    <w:rsid w:val="006A32DB"/>
    <w:rsid w:val="006A3375"/>
    <w:rsid w:val="006A76CF"/>
    <w:rsid w:val="006A7ED4"/>
    <w:rsid w:val="006B1BB2"/>
    <w:rsid w:val="006B23F8"/>
    <w:rsid w:val="006B246A"/>
    <w:rsid w:val="006B33BD"/>
    <w:rsid w:val="006B42B0"/>
    <w:rsid w:val="006B4D4A"/>
    <w:rsid w:val="006B5CB7"/>
    <w:rsid w:val="006B7012"/>
    <w:rsid w:val="006C02DB"/>
    <w:rsid w:val="006C4129"/>
    <w:rsid w:val="006D4D72"/>
    <w:rsid w:val="006D5D0D"/>
    <w:rsid w:val="006E1547"/>
    <w:rsid w:val="006E1F9B"/>
    <w:rsid w:val="006E2C6A"/>
    <w:rsid w:val="006E313A"/>
    <w:rsid w:val="006E679A"/>
    <w:rsid w:val="006E7567"/>
    <w:rsid w:val="006E7F54"/>
    <w:rsid w:val="006F2924"/>
    <w:rsid w:val="006F4CD4"/>
    <w:rsid w:val="0070553C"/>
    <w:rsid w:val="00711B6C"/>
    <w:rsid w:val="00720A83"/>
    <w:rsid w:val="00722084"/>
    <w:rsid w:val="0072592A"/>
    <w:rsid w:val="0073319E"/>
    <w:rsid w:val="007331A9"/>
    <w:rsid w:val="00733F08"/>
    <w:rsid w:val="007342B2"/>
    <w:rsid w:val="00735328"/>
    <w:rsid w:val="0074114C"/>
    <w:rsid w:val="0074497D"/>
    <w:rsid w:val="00745BEC"/>
    <w:rsid w:val="00747CC8"/>
    <w:rsid w:val="00750AB8"/>
    <w:rsid w:val="00751304"/>
    <w:rsid w:val="007518CC"/>
    <w:rsid w:val="00760AA6"/>
    <w:rsid w:val="00763D69"/>
    <w:rsid w:val="007650E1"/>
    <w:rsid w:val="00773CDC"/>
    <w:rsid w:val="007770EF"/>
    <w:rsid w:val="00777987"/>
    <w:rsid w:val="00780C05"/>
    <w:rsid w:val="00783DA9"/>
    <w:rsid w:val="007859BE"/>
    <w:rsid w:val="00796852"/>
    <w:rsid w:val="00797903"/>
    <w:rsid w:val="007A0031"/>
    <w:rsid w:val="007A76D1"/>
    <w:rsid w:val="007B1781"/>
    <w:rsid w:val="007C50A4"/>
    <w:rsid w:val="007D1190"/>
    <w:rsid w:val="007D52E9"/>
    <w:rsid w:val="007D5BB0"/>
    <w:rsid w:val="007D71E7"/>
    <w:rsid w:val="007E10BC"/>
    <w:rsid w:val="007E1F48"/>
    <w:rsid w:val="007E2F96"/>
    <w:rsid w:val="007E6F97"/>
    <w:rsid w:val="007F0211"/>
    <w:rsid w:val="007F1B11"/>
    <w:rsid w:val="007F2552"/>
    <w:rsid w:val="007F3C5F"/>
    <w:rsid w:val="007F6692"/>
    <w:rsid w:val="008038CE"/>
    <w:rsid w:val="00807F02"/>
    <w:rsid w:val="008128E6"/>
    <w:rsid w:val="00813897"/>
    <w:rsid w:val="00813A09"/>
    <w:rsid w:val="0081682B"/>
    <w:rsid w:val="00817379"/>
    <w:rsid w:val="00820752"/>
    <w:rsid w:val="008241DE"/>
    <w:rsid w:val="00830C70"/>
    <w:rsid w:val="00833EC5"/>
    <w:rsid w:val="0083509C"/>
    <w:rsid w:val="00835EBF"/>
    <w:rsid w:val="00840B4F"/>
    <w:rsid w:val="00846224"/>
    <w:rsid w:val="0085353D"/>
    <w:rsid w:val="00855CFF"/>
    <w:rsid w:val="0086021E"/>
    <w:rsid w:val="008619D1"/>
    <w:rsid w:val="00864159"/>
    <w:rsid w:val="00870028"/>
    <w:rsid w:val="00870388"/>
    <w:rsid w:val="0087467D"/>
    <w:rsid w:val="00876A10"/>
    <w:rsid w:val="00876C17"/>
    <w:rsid w:val="0087763B"/>
    <w:rsid w:val="00882015"/>
    <w:rsid w:val="00883867"/>
    <w:rsid w:val="0088441B"/>
    <w:rsid w:val="00884BFC"/>
    <w:rsid w:val="00886A9E"/>
    <w:rsid w:val="0089241F"/>
    <w:rsid w:val="00892621"/>
    <w:rsid w:val="00894EA1"/>
    <w:rsid w:val="008A02AD"/>
    <w:rsid w:val="008A0D6B"/>
    <w:rsid w:val="008A12A5"/>
    <w:rsid w:val="008A1B3A"/>
    <w:rsid w:val="008A2035"/>
    <w:rsid w:val="008B0FB5"/>
    <w:rsid w:val="008B34B8"/>
    <w:rsid w:val="008B36F9"/>
    <w:rsid w:val="008C2324"/>
    <w:rsid w:val="008C28CF"/>
    <w:rsid w:val="008C60AB"/>
    <w:rsid w:val="008D093E"/>
    <w:rsid w:val="008D0FB8"/>
    <w:rsid w:val="008D31A5"/>
    <w:rsid w:val="008E01D0"/>
    <w:rsid w:val="008E11F9"/>
    <w:rsid w:val="008E26AF"/>
    <w:rsid w:val="008E5B99"/>
    <w:rsid w:val="008F2BF1"/>
    <w:rsid w:val="00900B5A"/>
    <w:rsid w:val="009010EB"/>
    <w:rsid w:val="00902173"/>
    <w:rsid w:val="00902482"/>
    <w:rsid w:val="00902A50"/>
    <w:rsid w:val="00902F1B"/>
    <w:rsid w:val="009115C2"/>
    <w:rsid w:val="00912621"/>
    <w:rsid w:val="00915D77"/>
    <w:rsid w:val="009216A1"/>
    <w:rsid w:val="009222F7"/>
    <w:rsid w:val="0092243D"/>
    <w:rsid w:val="00925F89"/>
    <w:rsid w:val="00926136"/>
    <w:rsid w:val="009277EA"/>
    <w:rsid w:val="00930751"/>
    <w:rsid w:val="0093257B"/>
    <w:rsid w:val="00934E9C"/>
    <w:rsid w:val="0093514C"/>
    <w:rsid w:val="0093787D"/>
    <w:rsid w:val="00941B96"/>
    <w:rsid w:val="00941E0E"/>
    <w:rsid w:val="00946D6F"/>
    <w:rsid w:val="00952277"/>
    <w:rsid w:val="00954080"/>
    <w:rsid w:val="00955562"/>
    <w:rsid w:val="0096021C"/>
    <w:rsid w:val="00960B5A"/>
    <w:rsid w:val="0096151A"/>
    <w:rsid w:val="009801C4"/>
    <w:rsid w:val="00983805"/>
    <w:rsid w:val="00986F6D"/>
    <w:rsid w:val="0099062F"/>
    <w:rsid w:val="009919D9"/>
    <w:rsid w:val="009945EE"/>
    <w:rsid w:val="00994A61"/>
    <w:rsid w:val="009970D1"/>
    <w:rsid w:val="009A0610"/>
    <w:rsid w:val="009B0A11"/>
    <w:rsid w:val="009B1052"/>
    <w:rsid w:val="009B7DD9"/>
    <w:rsid w:val="009C2B7E"/>
    <w:rsid w:val="009D5D58"/>
    <w:rsid w:val="009D606D"/>
    <w:rsid w:val="009E1923"/>
    <w:rsid w:val="009F0100"/>
    <w:rsid w:val="009F078F"/>
    <w:rsid w:val="009F3C9E"/>
    <w:rsid w:val="009F486C"/>
    <w:rsid w:val="009F59B4"/>
    <w:rsid w:val="009F7563"/>
    <w:rsid w:val="00A04050"/>
    <w:rsid w:val="00A11290"/>
    <w:rsid w:val="00A12259"/>
    <w:rsid w:val="00A155C3"/>
    <w:rsid w:val="00A16ECD"/>
    <w:rsid w:val="00A208A4"/>
    <w:rsid w:val="00A24C2C"/>
    <w:rsid w:val="00A25DC6"/>
    <w:rsid w:val="00A41085"/>
    <w:rsid w:val="00A429D7"/>
    <w:rsid w:val="00A445E0"/>
    <w:rsid w:val="00A46575"/>
    <w:rsid w:val="00A53F48"/>
    <w:rsid w:val="00A610EE"/>
    <w:rsid w:val="00A612F8"/>
    <w:rsid w:val="00A653B0"/>
    <w:rsid w:val="00A655BF"/>
    <w:rsid w:val="00A75A91"/>
    <w:rsid w:val="00A81ABE"/>
    <w:rsid w:val="00A95B4B"/>
    <w:rsid w:val="00A97C9B"/>
    <w:rsid w:val="00AA12BB"/>
    <w:rsid w:val="00AA15CE"/>
    <w:rsid w:val="00AA2144"/>
    <w:rsid w:val="00AA3247"/>
    <w:rsid w:val="00AA3EDA"/>
    <w:rsid w:val="00AA4AF4"/>
    <w:rsid w:val="00AA65A3"/>
    <w:rsid w:val="00AB3EBE"/>
    <w:rsid w:val="00AC16CC"/>
    <w:rsid w:val="00AC68E5"/>
    <w:rsid w:val="00AD1603"/>
    <w:rsid w:val="00AD3046"/>
    <w:rsid w:val="00AD5520"/>
    <w:rsid w:val="00AD5B88"/>
    <w:rsid w:val="00AE63C0"/>
    <w:rsid w:val="00AF1A75"/>
    <w:rsid w:val="00AF2F00"/>
    <w:rsid w:val="00AF535D"/>
    <w:rsid w:val="00AF6BC9"/>
    <w:rsid w:val="00B03498"/>
    <w:rsid w:val="00B03BC7"/>
    <w:rsid w:val="00B0537E"/>
    <w:rsid w:val="00B059F6"/>
    <w:rsid w:val="00B06B64"/>
    <w:rsid w:val="00B10B2B"/>
    <w:rsid w:val="00B11D06"/>
    <w:rsid w:val="00B13974"/>
    <w:rsid w:val="00B17B3C"/>
    <w:rsid w:val="00B22E25"/>
    <w:rsid w:val="00B233C7"/>
    <w:rsid w:val="00B24947"/>
    <w:rsid w:val="00B25D30"/>
    <w:rsid w:val="00B318C3"/>
    <w:rsid w:val="00B32376"/>
    <w:rsid w:val="00B34F3B"/>
    <w:rsid w:val="00B36448"/>
    <w:rsid w:val="00B374AD"/>
    <w:rsid w:val="00B3794C"/>
    <w:rsid w:val="00B42ECF"/>
    <w:rsid w:val="00B43095"/>
    <w:rsid w:val="00B472B8"/>
    <w:rsid w:val="00B52814"/>
    <w:rsid w:val="00B54AC6"/>
    <w:rsid w:val="00B5559C"/>
    <w:rsid w:val="00B57BB2"/>
    <w:rsid w:val="00B6154B"/>
    <w:rsid w:val="00B67502"/>
    <w:rsid w:val="00B7153B"/>
    <w:rsid w:val="00B734AD"/>
    <w:rsid w:val="00B75B9E"/>
    <w:rsid w:val="00B75D9D"/>
    <w:rsid w:val="00B82364"/>
    <w:rsid w:val="00B82F2D"/>
    <w:rsid w:val="00B84FA9"/>
    <w:rsid w:val="00B8645B"/>
    <w:rsid w:val="00B869A9"/>
    <w:rsid w:val="00B97596"/>
    <w:rsid w:val="00BA7A4F"/>
    <w:rsid w:val="00BB099B"/>
    <w:rsid w:val="00BB2B70"/>
    <w:rsid w:val="00BB3FB7"/>
    <w:rsid w:val="00BB5736"/>
    <w:rsid w:val="00BB7EEF"/>
    <w:rsid w:val="00BC06A6"/>
    <w:rsid w:val="00BC106F"/>
    <w:rsid w:val="00BD09B4"/>
    <w:rsid w:val="00BD197E"/>
    <w:rsid w:val="00BD2797"/>
    <w:rsid w:val="00BD5F72"/>
    <w:rsid w:val="00BE04FD"/>
    <w:rsid w:val="00BE2E31"/>
    <w:rsid w:val="00BE3860"/>
    <w:rsid w:val="00BE4B20"/>
    <w:rsid w:val="00BF35A0"/>
    <w:rsid w:val="00BF5B55"/>
    <w:rsid w:val="00C00FD0"/>
    <w:rsid w:val="00C03D9C"/>
    <w:rsid w:val="00C046E4"/>
    <w:rsid w:val="00C1708A"/>
    <w:rsid w:val="00C22B57"/>
    <w:rsid w:val="00C23F08"/>
    <w:rsid w:val="00C242A1"/>
    <w:rsid w:val="00C25835"/>
    <w:rsid w:val="00C268DB"/>
    <w:rsid w:val="00C3262E"/>
    <w:rsid w:val="00C34640"/>
    <w:rsid w:val="00C353FD"/>
    <w:rsid w:val="00C4309E"/>
    <w:rsid w:val="00C4504F"/>
    <w:rsid w:val="00C45417"/>
    <w:rsid w:val="00C529F0"/>
    <w:rsid w:val="00C57905"/>
    <w:rsid w:val="00C6362E"/>
    <w:rsid w:val="00C71E40"/>
    <w:rsid w:val="00C72FFD"/>
    <w:rsid w:val="00C76970"/>
    <w:rsid w:val="00C775C2"/>
    <w:rsid w:val="00C81794"/>
    <w:rsid w:val="00C826C3"/>
    <w:rsid w:val="00C85B50"/>
    <w:rsid w:val="00C85EAC"/>
    <w:rsid w:val="00C86891"/>
    <w:rsid w:val="00C95C3B"/>
    <w:rsid w:val="00C9651A"/>
    <w:rsid w:val="00CA48CF"/>
    <w:rsid w:val="00CA4F49"/>
    <w:rsid w:val="00CA56F4"/>
    <w:rsid w:val="00CB2B1B"/>
    <w:rsid w:val="00CB4029"/>
    <w:rsid w:val="00CB6BFA"/>
    <w:rsid w:val="00CB6F75"/>
    <w:rsid w:val="00CC1085"/>
    <w:rsid w:val="00CC28C8"/>
    <w:rsid w:val="00CC2B26"/>
    <w:rsid w:val="00CC517E"/>
    <w:rsid w:val="00CC7410"/>
    <w:rsid w:val="00CD38EA"/>
    <w:rsid w:val="00CD5E8F"/>
    <w:rsid w:val="00CD7AD9"/>
    <w:rsid w:val="00CE029D"/>
    <w:rsid w:val="00CE44D1"/>
    <w:rsid w:val="00CF1277"/>
    <w:rsid w:val="00CF3D9C"/>
    <w:rsid w:val="00CF464B"/>
    <w:rsid w:val="00CF61DD"/>
    <w:rsid w:val="00CF798C"/>
    <w:rsid w:val="00CF7E3A"/>
    <w:rsid w:val="00D00782"/>
    <w:rsid w:val="00D03B4F"/>
    <w:rsid w:val="00D21016"/>
    <w:rsid w:val="00D23BE1"/>
    <w:rsid w:val="00D27733"/>
    <w:rsid w:val="00D33A72"/>
    <w:rsid w:val="00D3459F"/>
    <w:rsid w:val="00D43567"/>
    <w:rsid w:val="00D50A24"/>
    <w:rsid w:val="00D522D9"/>
    <w:rsid w:val="00D524FD"/>
    <w:rsid w:val="00D528FF"/>
    <w:rsid w:val="00D54B77"/>
    <w:rsid w:val="00D54EDB"/>
    <w:rsid w:val="00D560B1"/>
    <w:rsid w:val="00D56CAF"/>
    <w:rsid w:val="00D6104F"/>
    <w:rsid w:val="00D66950"/>
    <w:rsid w:val="00D7541B"/>
    <w:rsid w:val="00D75668"/>
    <w:rsid w:val="00D828AA"/>
    <w:rsid w:val="00D85AD1"/>
    <w:rsid w:val="00D90F7B"/>
    <w:rsid w:val="00D917FD"/>
    <w:rsid w:val="00D91C8C"/>
    <w:rsid w:val="00DA1C9F"/>
    <w:rsid w:val="00DA2FCC"/>
    <w:rsid w:val="00DA3ED8"/>
    <w:rsid w:val="00DA6385"/>
    <w:rsid w:val="00DC023C"/>
    <w:rsid w:val="00DC26BB"/>
    <w:rsid w:val="00DC3C0D"/>
    <w:rsid w:val="00DC3E42"/>
    <w:rsid w:val="00DC3E78"/>
    <w:rsid w:val="00DC792E"/>
    <w:rsid w:val="00DD3F3D"/>
    <w:rsid w:val="00DD3FB6"/>
    <w:rsid w:val="00DD78C2"/>
    <w:rsid w:val="00DE1D00"/>
    <w:rsid w:val="00DE340E"/>
    <w:rsid w:val="00E07283"/>
    <w:rsid w:val="00E1012E"/>
    <w:rsid w:val="00E1027E"/>
    <w:rsid w:val="00E10798"/>
    <w:rsid w:val="00E1089E"/>
    <w:rsid w:val="00E11C4A"/>
    <w:rsid w:val="00E1355D"/>
    <w:rsid w:val="00E13B73"/>
    <w:rsid w:val="00E14171"/>
    <w:rsid w:val="00E172A6"/>
    <w:rsid w:val="00E20BF7"/>
    <w:rsid w:val="00E20D97"/>
    <w:rsid w:val="00E229AB"/>
    <w:rsid w:val="00E2691F"/>
    <w:rsid w:val="00E34D20"/>
    <w:rsid w:val="00E36DA8"/>
    <w:rsid w:val="00E43053"/>
    <w:rsid w:val="00E44484"/>
    <w:rsid w:val="00E51BB1"/>
    <w:rsid w:val="00E5372F"/>
    <w:rsid w:val="00E56A81"/>
    <w:rsid w:val="00E576B9"/>
    <w:rsid w:val="00E6022B"/>
    <w:rsid w:val="00E60518"/>
    <w:rsid w:val="00E63B11"/>
    <w:rsid w:val="00E64F33"/>
    <w:rsid w:val="00E6559C"/>
    <w:rsid w:val="00E73583"/>
    <w:rsid w:val="00E77528"/>
    <w:rsid w:val="00E814A1"/>
    <w:rsid w:val="00E81BBF"/>
    <w:rsid w:val="00E83B5B"/>
    <w:rsid w:val="00E90251"/>
    <w:rsid w:val="00E92107"/>
    <w:rsid w:val="00E95EB3"/>
    <w:rsid w:val="00E96A26"/>
    <w:rsid w:val="00E973B9"/>
    <w:rsid w:val="00EA013C"/>
    <w:rsid w:val="00EA0603"/>
    <w:rsid w:val="00EA25D2"/>
    <w:rsid w:val="00EA4C46"/>
    <w:rsid w:val="00EB1821"/>
    <w:rsid w:val="00EB2061"/>
    <w:rsid w:val="00EB2480"/>
    <w:rsid w:val="00EB5D71"/>
    <w:rsid w:val="00EC0C70"/>
    <w:rsid w:val="00EC0CB0"/>
    <w:rsid w:val="00EC31D4"/>
    <w:rsid w:val="00EC4B76"/>
    <w:rsid w:val="00EC70E4"/>
    <w:rsid w:val="00ED3BDD"/>
    <w:rsid w:val="00ED4173"/>
    <w:rsid w:val="00ED5441"/>
    <w:rsid w:val="00ED686A"/>
    <w:rsid w:val="00EE6083"/>
    <w:rsid w:val="00F002C2"/>
    <w:rsid w:val="00F00567"/>
    <w:rsid w:val="00F010EA"/>
    <w:rsid w:val="00F01F0B"/>
    <w:rsid w:val="00F05757"/>
    <w:rsid w:val="00F064EC"/>
    <w:rsid w:val="00F17689"/>
    <w:rsid w:val="00F22798"/>
    <w:rsid w:val="00F25907"/>
    <w:rsid w:val="00F26390"/>
    <w:rsid w:val="00F4449F"/>
    <w:rsid w:val="00F46040"/>
    <w:rsid w:val="00F60A6D"/>
    <w:rsid w:val="00F65E52"/>
    <w:rsid w:val="00F66B1F"/>
    <w:rsid w:val="00F7008A"/>
    <w:rsid w:val="00F701B1"/>
    <w:rsid w:val="00F71B0E"/>
    <w:rsid w:val="00F77AE6"/>
    <w:rsid w:val="00F830B5"/>
    <w:rsid w:val="00F85152"/>
    <w:rsid w:val="00F86979"/>
    <w:rsid w:val="00F8746A"/>
    <w:rsid w:val="00F92925"/>
    <w:rsid w:val="00F930B5"/>
    <w:rsid w:val="00F9319F"/>
    <w:rsid w:val="00F94EBD"/>
    <w:rsid w:val="00F97C62"/>
    <w:rsid w:val="00F97ECC"/>
    <w:rsid w:val="00FA0737"/>
    <w:rsid w:val="00FA210A"/>
    <w:rsid w:val="00FA2855"/>
    <w:rsid w:val="00FA2F81"/>
    <w:rsid w:val="00FA52E2"/>
    <w:rsid w:val="00FB08A8"/>
    <w:rsid w:val="00FB270C"/>
    <w:rsid w:val="00FB5252"/>
    <w:rsid w:val="00FB76B9"/>
    <w:rsid w:val="00FC1413"/>
    <w:rsid w:val="00FC408A"/>
    <w:rsid w:val="00FC4F33"/>
    <w:rsid w:val="00FC5C56"/>
    <w:rsid w:val="00FC7587"/>
    <w:rsid w:val="00FD1787"/>
    <w:rsid w:val="00FE01D3"/>
    <w:rsid w:val="00FE4CB7"/>
    <w:rsid w:val="00FE7D72"/>
    <w:rsid w:val="00FF2FF6"/>
    <w:rsid w:val="00FF4F7F"/>
    <w:rsid w:val="00FF7718"/>
    <w:rsid w:val="139B7B35"/>
    <w:rsid w:val="18DB57E4"/>
    <w:rsid w:val="1EC002A2"/>
    <w:rsid w:val="1F00DCAE"/>
    <w:rsid w:val="2A6EC66F"/>
    <w:rsid w:val="2F97D4DD"/>
    <w:rsid w:val="3023217F"/>
    <w:rsid w:val="37C70FFE"/>
    <w:rsid w:val="395519FC"/>
    <w:rsid w:val="65A69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C8C47"/>
  <w15:docId w15:val="{E2B37B3A-73B7-4141-8872-74EE6956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B6B8C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FB27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270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270C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70C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53D"/>
    <w:pPr>
      <w:suppressAutoHyphens w:val="0"/>
      <w:autoSpaceDN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53D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2A1"/>
  </w:style>
  <w:style w:type="paragraph" w:styleId="Stopka">
    <w:name w:val="footer"/>
    <w:basedOn w:val="Normalny"/>
    <w:link w:val="StopkaZnak"/>
    <w:uiPriority w:val="99"/>
    <w:unhideWhenUsed/>
    <w:rsid w:val="00C2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2A1"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2E2BD3"/>
    <w:pPr>
      <w:ind w:left="720"/>
      <w:contextualSpacing/>
    </w:pPr>
  </w:style>
  <w:style w:type="paragraph" w:customStyle="1" w:styleId="Style11">
    <w:name w:val="Style11"/>
    <w:basedOn w:val="Normalny"/>
    <w:uiPriority w:val="99"/>
    <w:rsid w:val="004F0F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8">
    <w:name w:val="Font Style78"/>
    <w:basedOn w:val="Domylnaczcionkaakapitu"/>
    <w:uiPriority w:val="99"/>
    <w:rsid w:val="004F0F86"/>
    <w:rPr>
      <w:rFonts w:ascii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3B2B0F"/>
    <w:pPr>
      <w:spacing w:after="0" w:line="240" w:lineRule="auto"/>
    </w:pPr>
  </w:style>
  <w:style w:type="paragraph" w:customStyle="1" w:styleId="Default">
    <w:name w:val="Default"/>
    <w:rsid w:val="00B715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B37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0923C8"/>
  </w:style>
  <w:style w:type="character" w:customStyle="1" w:styleId="normaltextrun">
    <w:name w:val="normaltextrun"/>
    <w:basedOn w:val="Domylnaczcionkaakapitu"/>
    <w:rsid w:val="00960B5A"/>
  </w:style>
  <w:style w:type="character" w:customStyle="1" w:styleId="eop">
    <w:name w:val="eop"/>
    <w:basedOn w:val="Domylnaczcionkaakapitu"/>
    <w:rsid w:val="00960B5A"/>
  </w:style>
  <w:style w:type="paragraph" w:customStyle="1" w:styleId="ListParagraph0">
    <w:name w:val="List Paragraph0"/>
    <w:aliases w:val="Paragraf,Punkt 1.1"/>
    <w:basedOn w:val="Normalny"/>
    <w:link w:val="ListParagraphChar1"/>
    <w:rsid w:val="006863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ListParagraphChar1">
    <w:name w:val="List Paragraph Char1"/>
    <w:aliases w:val="Paragraf Char1,Punkt 1.1 Char1"/>
    <w:link w:val="ListParagraph0"/>
    <w:locked/>
    <w:rsid w:val="006863F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4B6B8C"/>
    <w:rPr>
      <w:rFonts w:ascii="Arial" w:eastAsiaTheme="majorEastAsia" w:hAnsi="Arial" w:cstheme="majorBidi"/>
      <w:b/>
      <w:sz w:val="24"/>
      <w:szCs w:val="3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27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27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2750"/>
    <w:rPr>
      <w:vertAlign w:val="superscript"/>
    </w:rPr>
  </w:style>
  <w:style w:type="character" w:customStyle="1" w:styleId="cf01">
    <w:name w:val="cf01"/>
    <w:basedOn w:val="Domylnaczcionkaakapitu"/>
    <w:rsid w:val="00CC2B2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6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9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9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2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0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0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7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7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8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4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2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75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8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3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8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3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0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1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30908-EA5E-4D54-9D93-361334738B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49D9F6-2E17-4B3C-8C0B-CD3E79D40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4218</Words>
  <Characters>25309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wskaźników dotyczących Działania 10.3</vt:lpstr>
    </vt:vector>
  </TitlesOfParts>
  <Company/>
  <LinksUpToDate>false</LinksUpToDate>
  <CharactersWithSpaces>29469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wskaźników dotyczących Działania 10.3</dc:title>
  <dc:subject/>
  <dc:creator>Alicja Ciorgoń</dc:creator>
  <cp:keywords/>
  <cp:lastModifiedBy>Aneta Piwnicka-Ponieważ</cp:lastModifiedBy>
  <cp:revision>6</cp:revision>
  <cp:lastPrinted>2024-10-16T09:01:00Z</cp:lastPrinted>
  <dcterms:created xsi:type="dcterms:W3CDTF">2024-10-25T10:41:00Z</dcterms:created>
  <dcterms:modified xsi:type="dcterms:W3CDTF">2024-10-25T10:44:00Z</dcterms:modified>
</cp:coreProperties>
</file>