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5B678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 w:rsidRPr="005B6780">
        <w:rPr>
          <w:rStyle w:val="Odwoanieprzypisudolnego"/>
          <w:rFonts w:ascii="Arial" w:hAnsi="Arial" w:cs="Arial"/>
          <w:bCs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6665E2A4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5B6780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6508CE1D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>Księdze Tożsamości Wizualnej marki Fundusze Europejskie 2021</w:t>
      </w:r>
      <w:r w:rsidR="005B6780">
        <w:rPr>
          <w:rFonts w:ascii="Arial" w:hAnsi="Arial" w:cs="Arial"/>
          <w:bCs/>
        </w:rPr>
        <w:t>-</w:t>
      </w:r>
      <w:r w:rsidR="00C51715" w:rsidRPr="00015512">
        <w:rPr>
          <w:rFonts w:ascii="Arial" w:hAnsi="Arial" w:cs="Arial"/>
          <w:bCs/>
        </w:rPr>
        <w:t xml:space="preserve">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6BA9CB46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2AAB94C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5B6780">
        <w:rPr>
          <w:rFonts w:ascii="Arial" w:hAnsi="Arial" w:cs="Arial"/>
          <w:sz w:val="24"/>
          <w:szCs w:val="24"/>
        </w:rPr>
        <w:t>.</w:t>
      </w:r>
    </w:p>
    <w:p w14:paraId="6229D86D" w14:textId="544CBDE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5B6780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392A3049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5B6780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086E7B8D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FE1D1A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FE1D1A">
        <w:rPr>
          <w:rFonts w:ascii="Arial" w:hAnsi="Arial" w:cs="Arial"/>
          <w:sz w:val="24"/>
          <w:szCs w:val="24"/>
        </w:rPr>
        <w:t>1491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="00096BC9">
        <w:rPr>
          <w:rFonts w:ascii="Arial" w:hAnsi="Arial" w:cs="Arial"/>
          <w:sz w:val="24"/>
          <w:szCs w:val="24"/>
        </w:rPr>
        <w:t xml:space="preserve"> z późn.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lastRenderedPageBreak/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5B780A64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="00FE1D1A">
        <w:rPr>
          <w:rFonts w:ascii="Arial" w:eastAsia="Calibri" w:hAnsi="Arial" w:cs="Arial"/>
          <w:lang w:eastAsia="en-US"/>
        </w:rPr>
        <w:t xml:space="preserve">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65C5FF74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</w:t>
      </w:r>
      <w:r w:rsidR="005B6780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</w:t>
      </w:r>
      <w:r w:rsidRPr="00015512">
        <w:rPr>
          <w:rFonts w:ascii="Arial" w:hAnsi="Arial" w:cs="Arial"/>
          <w:sz w:val="24"/>
          <w:szCs w:val="24"/>
        </w:rPr>
        <w:lastRenderedPageBreak/>
        <w:t xml:space="preserve">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83981" w14:textId="77777777" w:rsidR="00D568CC" w:rsidRDefault="00D568CC" w:rsidP="002D7583">
      <w:r>
        <w:separator/>
      </w:r>
    </w:p>
  </w:endnote>
  <w:endnote w:type="continuationSeparator" w:id="0">
    <w:p w14:paraId="2459D43A" w14:textId="77777777" w:rsidR="00D568CC" w:rsidRDefault="00D568CC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03BC" w14:textId="77777777" w:rsidR="00D568CC" w:rsidRDefault="00D568CC" w:rsidP="002D7583">
      <w:r>
        <w:separator/>
      </w:r>
    </w:p>
  </w:footnote>
  <w:footnote w:type="continuationSeparator" w:id="0">
    <w:p w14:paraId="3EBDCB1B" w14:textId="77777777" w:rsidR="00D568CC" w:rsidRDefault="00D568CC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5B6780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5B6780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B6780">
        <w:rPr>
          <w:rFonts w:ascii="Arial" w:hAnsi="Arial" w:cs="Arial"/>
          <w:sz w:val="20"/>
          <w:szCs w:val="20"/>
        </w:rPr>
        <w:t xml:space="preserve"> </w:t>
      </w:r>
      <w:r w:rsidR="00AD46E2" w:rsidRPr="005B6780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5B6780">
        <w:rPr>
          <w:rFonts w:ascii="Arial" w:hAnsi="Arial" w:cs="Arial"/>
          <w:sz w:val="18"/>
          <w:szCs w:val="18"/>
        </w:rPr>
        <w:t xml:space="preserve">gremium wyposażone w kompetencje pozwalające na kierowanie działalnością </w:t>
      </w:r>
      <w:r w:rsidR="009B5F3B" w:rsidRPr="005B6780">
        <w:rPr>
          <w:rFonts w:ascii="Arial" w:hAnsi="Arial" w:cs="Arial"/>
          <w:sz w:val="18"/>
          <w:szCs w:val="18"/>
        </w:rPr>
        <w:t>p</w:t>
      </w:r>
      <w:r w:rsidR="00E4532B" w:rsidRPr="005B6780">
        <w:rPr>
          <w:rFonts w:ascii="Arial" w:hAnsi="Arial" w:cs="Arial"/>
          <w:sz w:val="18"/>
          <w:szCs w:val="18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 w:rsidRPr="005B6780">
        <w:rPr>
          <w:rFonts w:ascii="Arial" w:hAnsi="Arial" w:cs="Arial"/>
          <w:sz w:val="18"/>
          <w:szCs w:val="18"/>
        </w:rPr>
        <w:t>P</w:t>
      </w:r>
      <w:r w:rsidRPr="005B6780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5B6780">
        <w:rPr>
          <w:rFonts w:ascii="Arial" w:hAnsi="Arial" w:cs="Arial"/>
          <w:sz w:val="18"/>
          <w:szCs w:val="18"/>
        </w:rPr>
        <w:t>P</w:t>
      </w:r>
      <w:r w:rsidRPr="005B6780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Pr="005B6780" w:rsidRDefault="003C7309" w:rsidP="003C7309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W przypadku otrzymywania środków w formie zaliczki partner ma obowiązek otwarcia wyodrębnionego rachunku bankowego.</w:t>
      </w:r>
    </w:p>
  </w:footnote>
  <w:footnote w:id="7">
    <w:p w14:paraId="5E0F3B0A" w14:textId="7C524CEA" w:rsidR="00D50E3A" w:rsidRPr="005B6780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B6780">
        <w:rPr>
          <w:rFonts w:ascii="Arial" w:hAnsi="Arial" w:cs="Arial"/>
          <w:sz w:val="18"/>
          <w:szCs w:val="18"/>
        </w:rPr>
        <w:t>P</w:t>
      </w:r>
      <w:r w:rsidRPr="005B6780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B6780">
        <w:rPr>
          <w:rFonts w:ascii="Arial" w:hAnsi="Arial" w:cs="Arial"/>
          <w:sz w:val="18"/>
          <w:szCs w:val="18"/>
        </w:rPr>
        <w:t>P</w:t>
      </w:r>
      <w:r w:rsidRPr="005B6780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5B6780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5B6780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5B6780">
          <w:rPr>
            <w:rStyle w:val="cf01"/>
            <w:rFonts w:ascii="Arial" w:hAnsi="Arial" w:cs="Arial"/>
            <w:color w:val="0000FF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5B6780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5B6780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5B6780" w:rsidRDefault="00310855" w:rsidP="00310855">
      <w:pPr>
        <w:pStyle w:val="Tekstprzypisudolnego"/>
        <w:rPr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5B6780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5B6780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Patrz przypis </w:t>
      </w:r>
      <w:r w:rsidR="00C10D2E" w:rsidRPr="005B6780">
        <w:rPr>
          <w:rFonts w:ascii="Arial" w:hAnsi="Arial" w:cs="Arial"/>
          <w:sz w:val="18"/>
          <w:szCs w:val="18"/>
        </w:rPr>
        <w:t>13</w:t>
      </w:r>
      <w:r w:rsidRPr="005B6780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5B6780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5B6780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Należy określić przyjęty przez partnerstwo tryb rozwiązania sporu, np. sąd powszechny lub sąd polubowny W</w:t>
      </w:r>
      <w:r w:rsidR="00095CCC" w:rsidRPr="005B6780">
        <w:rPr>
          <w:rFonts w:ascii="Arial" w:hAnsi="Arial" w:cs="Arial"/>
          <w:sz w:val="18"/>
          <w:szCs w:val="18"/>
        </w:rPr>
        <w:t> </w:t>
      </w:r>
      <w:r w:rsidRPr="005B678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BC9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153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97B3A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780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6EBD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5333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4B1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4120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3556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8CC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27E6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1D1A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5600</Words>
  <Characters>33604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11</cp:revision>
  <cp:lastPrinted>2024-11-14T12:37:00Z</cp:lastPrinted>
  <dcterms:created xsi:type="dcterms:W3CDTF">2024-09-06T12:27:00Z</dcterms:created>
  <dcterms:modified xsi:type="dcterms:W3CDTF">2024-11-14T12:38:00Z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