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0F619" w14:textId="30553F47" w:rsidR="00487174" w:rsidRPr="00550DB2" w:rsidRDefault="00487174" w:rsidP="00487174">
      <w:pPr>
        <w:spacing w:before="240"/>
        <w:ind w:left="4962"/>
        <w:rPr>
          <w:rFonts w:ascii="Arial" w:hAnsi="Arial" w:cs="Arial"/>
          <w:sz w:val="24"/>
          <w:szCs w:val="24"/>
        </w:rPr>
      </w:pPr>
      <w:r w:rsidRPr="00693951">
        <w:rPr>
          <w:rFonts w:ascii="Arial" w:hAnsi="Arial" w:cs="Arial"/>
          <w:sz w:val="24"/>
          <w:szCs w:val="24"/>
        </w:rPr>
        <w:t xml:space="preserve">Załącznik nr </w:t>
      </w:r>
      <w:r w:rsidR="009454C1">
        <w:rPr>
          <w:rFonts w:ascii="Arial" w:hAnsi="Arial" w:cs="Arial"/>
          <w:sz w:val="24"/>
          <w:szCs w:val="24"/>
        </w:rPr>
        <w:t>1</w:t>
      </w:r>
      <w:r w:rsidRPr="00693951">
        <w:rPr>
          <w:rFonts w:ascii="Arial" w:hAnsi="Arial" w:cs="Arial"/>
          <w:sz w:val="24"/>
          <w:szCs w:val="24"/>
        </w:rPr>
        <w:t xml:space="preserve"> </w:t>
      </w:r>
      <w:r w:rsidRPr="00693951">
        <w:rPr>
          <w:rFonts w:ascii="Arial" w:hAnsi="Arial" w:cs="Arial"/>
          <w:sz w:val="24"/>
          <w:szCs w:val="24"/>
        </w:rPr>
        <w:br/>
        <w:t xml:space="preserve">do uchwały nr </w:t>
      </w:r>
      <w:r w:rsidRPr="00E429D9">
        <w:rPr>
          <w:rFonts w:ascii="Arial" w:hAnsi="Arial" w:cs="Arial"/>
          <w:sz w:val="24"/>
          <w:szCs w:val="24"/>
        </w:rPr>
        <w:t>CCLXXXVII/5778/2026</w:t>
      </w:r>
      <w:r w:rsidRPr="00693951">
        <w:rPr>
          <w:rFonts w:ascii="Arial" w:hAnsi="Arial" w:cs="Arial"/>
          <w:sz w:val="24"/>
          <w:szCs w:val="24"/>
        </w:rPr>
        <w:br/>
        <w:t>Zarządu Województwa Lubelskiego</w:t>
      </w:r>
      <w:r w:rsidRPr="00693951">
        <w:rPr>
          <w:rFonts w:ascii="Arial" w:hAnsi="Arial" w:cs="Arial"/>
          <w:sz w:val="24"/>
          <w:szCs w:val="24"/>
        </w:rPr>
        <w:br/>
        <w:t xml:space="preserve">z dnia </w:t>
      </w:r>
      <w:r>
        <w:rPr>
          <w:rFonts w:ascii="Arial" w:hAnsi="Arial" w:cs="Arial"/>
          <w:sz w:val="24"/>
          <w:szCs w:val="24"/>
        </w:rPr>
        <w:t>30 września</w:t>
      </w:r>
      <w:r w:rsidRPr="00693951">
        <w:rPr>
          <w:rFonts w:ascii="Arial" w:hAnsi="Arial" w:cs="Arial"/>
          <w:sz w:val="24"/>
          <w:szCs w:val="24"/>
        </w:rPr>
        <w:t xml:space="preserve"> 2026 r.</w:t>
      </w:r>
    </w:p>
    <w:p w14:paraId="62DD5C0B" w14:textId="77777777" w:rsidR="00487174" w:rsidRDefault="00487174">
      <w:pPr>
        <w:jc w:val="center"/>
      </w:pPr>
    </w:p>
    <w:p w14:paraId="240F1CB1" w14:textId="50F50569" w:rsidR="003A0762" w:rsidRDefault="00ED5FA8">
      <w:pPr>
        <w:jc w:val="center"/>
      </w:pPr>
      <w:r>
        <w:t>Urząd Marszałkowski Województwa Lubelskiego</w:t>
      </w:r>
    </w:p>
    <w:p w14:paraId="240F1CB2" w14:textId="77777777" w:rsidR="003A0762" w:rsidRDefault="003A0762">
      <w:pPr>
        <w:jc w:val="center"/>
        <w:rPr>
          <w:b/>
          <w:sz w:val="44"/>
        </w:rPr>
      </w:pPr>
    </w:p>
    <w:p w14:paraId="240F1CB5" w14:textId="77777777" w:rsidR="003A0762" w:rsidRDefault="00ED5FA8">
      <w:pPr>
        <w:jc w:val="center"/>
        <w:rPr>
          <w:b/>
          <w:sz w:val="44"/>
        </w:rPr>
      </w:pPr>
      <w:r>
        <w:rPr>
          <w:b/>
          <w:sz w:val="44"/>
        </w:rPr>
        <w:t>Szczegółowy Opis Priorytetów</w:t>
      </w:r>
    </w:p>
    <w:p w14:paraId="240F1CB6" w14:textId="77777777" w:rsidR="003A0762" w:rsidRDefault="00ED5FA8">
      <w:pPr>
        <w:jc w:val="center"/>
        <w:rPr>
          <w:b/>
          <w:sz w:val="44"/>
        </w:rPr>
      </w:pPr>
      <w:r>
        <w:rPr>
          <w:b/>
          <w:sz w:val="44"/>
        </w:rPr>
        <w:t>Programu</w:t>
      </w:r>
    </w:p>
    <w:p w14:paraId="240F1CB7" w14:textId="77777777" w:rsidR="003A0762" w:rsidRDefault="00ED5FA8">
      <w:pPr>
        <w:jc w:val="center"/>
        <w:rPr>
          <w:b/>
          <w:sz w:val="44"/>
        </w:rPr>
      </w:pPr>
      <w:r>
        <w:rPr>
          <w:b/>
          <w:sz w:val="44"/>
        </w:rPr>
        <w:t>Fundusze Europejskie dla Lubelskiego 2021-2027</w:t>
      </w:r>
    </w:p>
    <w:p w14:paraId="240F1CB8" w14:textId="77777777" w:rsidR="003A0762" w:rsidRDefault="003A0762">
      <w:pPr>
        <w:jc w:val="center"/>
        <w:rPr>
          <w:b/>
          <w:sz w:val="44"/>
        </w:rPr>
      </w:pPr>
    </w:p>
    <w:p w14:paraId="240F1CB9" w14:textId="77777777" w:rsidR="003A0762" w:rsidRDefault="00ED5FA8">
      <w:pPr>
        <w:jc w:val="center"/>
        <w:rPr>
          <w:b/>
          <w:sz w:val="44"/>
        </w:rPr>
      </w:pPr>
      <w:r>
        <w:rPr>
          <w:noProof/>
        </w:rPr>
        <w:drawing>
          <wp:inline distT="0" distB="0" distL="0" distR="0" wp14:anchorId="240F3438" wp14:editId="240F3439">
            <wp:extent cx="1524000" cy="1524000"/>
            <wp:effectExtent l="0" t="0" r="0" b="0"/>
            <wp:docPr id="18109644" name="Obraz 18109644"/>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
                    <a:stretch>
                      <a:fillRect/>
                    </a:stretch>
                  </pic:blipFill>
                  <pic:spPr>
                    <a:xfrm>
                      <a:off x="0" y="0"/>
                      <a:ext cx="1524000" cy="1524000"/>
                    </a:xfrm>
                    <a:prstGeom prst="rect">
                      <a:avLst/>
                    </a:prstGeom>
                  </pic:spPr>
                </pic:pic>
              </a:graphicData>
            </a:graphic>
          </wp:inline>
        </w:drawing>
      </w:r>
    </w:p>
    <w:p w14:paraId="240F1CBB" w14:textId="77777777" w:rsidR="003A0762" w:rsidRDefault="00ED5FA8">
      <w:pPr>
        <w:jc w:val="center"/>
      </w:pPr>
      <w:r>
        <w:t>Wersja SZOP.FELU.026</w:t>
      </w:r>
    </w:p>
    <w:p w14:paraId="240F1CBC" w14:textId="77777777" w:rsidR="003A0762" w:rsidRDefault="00ED5FA8">
      <w:pPr>
        <w:jc w:val="center"/>
      </w:pPr>
      <w:r>
        <w:t xml:space="preserve"> Obowiązuje od dnia 2026-09-30</w:t>
      </w:r>
    </w:p>
    <w:p w14:paraId="240F1CBD" w14:textId="77777777" w:rsidR="003A0762" w:rsidRDefault="00ED5FA8">
      <w:pPr>
        <w:jc w:val="center"/>
      </w:pPr>
      <w:r>
        <w:t>SZOP Bieżący</w:t>
      </w:r>
    </w:p>
    <w:p w14:paraId="240F1CBE" w14:textId="77777777" w:rsidR="003A0762" w:rsidRDefault="003A0762">
      <w:pPr>
        <w:jc w:val="center"/>
        <w:rPr>
          <w:highlight w:val="yellow"/>
        </w:rPr>
      </w:pPr>
    </w:p>
    <w:p w14:paraId="240F1CC0" w14:textId="679599FB" w:rsidR="003A0762" w:rsidRDefault="006E2C08">
      <w:pPr>
        <w:rPr>
          <w:b/>
          <w:i/>
          <w:sz w:val="44"/>
          <w:highlight w:val="yellow"/>
        </w:rPr>
      </w:pPr>
      <w:r>
        <w:rPr>
          <w:i/>
          <w:noProof/>
        </w:rPr>
        <w:drawing>
          <wp:inline distT="0" distB="0" distL="0" distR="0" wp14:anchorId="71413395" wp14:editId="6D64CF91">
            <wp:extent cx="5761355" cy="615950"/>
            <wp:effectExtent l="0" t="0" r="0" b="0"/>
            <wp:docPr id="1964918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615950"/>
                    </a:xfrm>
                    <a:prstGeom prst="rect">
                      <a:avLst/>
                    </a:prstGeom>
                    <a:noFill/>
                  </pic:spPr>
                </pic:pic>
              </a:graphicData>
            </a:graphic>
          </wp:inline>
        </w:drawing>
      </w:r>
    </w:p>
    <w:p w14:paraId="240F1CC1" w14:textId="77777777" w:rsidR="003A0762" w:rsidRDefault="00ED5FA8">
      <w:pPr>
        <w:rPr>
          <w:b/>
          <w:i/>
          <w:sz w:val="44"/>
        </w:rPr>
      </w:pPr>
      <w:r>
        <w:lastRenderedPageBreak/>
        <w:br w:type="page"/>
      </w:r>
    </w:p>
    <w:sdt>
      <w:sdtPr>
        <w:rPr>
          <w:rFonts w:asciiTheme="minorHAnsi" w:hAnsiTheme="minorHAnsi" w:cs="Calibri"/>
          <w:color w:val="auto"/>
          <w:sz w:val="22"/>
        </w:rPr>
        <w:id w:val="842743968"/>
        <w:docPartObj>
          <w:docPartGallery w:val="Table of Contents"/>
          <w:docPartUnique/>
        </w:docPartObj>
      </w:sdtPr>
      <w:sdtEndPr>
        <w:rPr>
          <w:b/>
          <w:bCs/>
        </w:rPr>
      </w:sdtEndPr>
      <w:sdtContent>
        <w:p w14:paraId="1BE2D99F" w14:textId="466E8629" w:rsidR="0088375F" w:rsidRDefault="0088375F" w:rsidP="00922FFC">
          <w:pPr>
            <w:pStyle w:val="Nagwekspisutreci"/>
            <w:spacing w:before="0" w:line="240" w:lineRule="auto"/>
          </w:pPr>
          <w:r>
            <w:t>Spis treści</w:t>
          </w:r>
        </w:p>
        <w:p w14:paraId="7C9A4177" w14:textId="2B614382" w:rsidR="0088375F" w:rsidRDefault="0088375F" w:rsidP="00922FFC">
          <w:pPr>
            <w:pStyle w:val="Spistreci1"/>
            <w:tabs>
              <w:tab w:val="right" w:leader="dot" w:pos="9396"/>
            </w:tabs>
            <w:spacing w:line="240" w:lineRule="auto"/>
            <w:rPr>
              <w:rFonts w:eastAsiaTheme="minorEastAsia" w:cstheme="minorBidi"/>
              <w:noProof/>
              <w:kern w:val="2"/>
              <w:sz w:val="24"/>
              <w:szCs w:val="24"/>
              <w14:ligatures w14:val="standardContextual"/>
            </w:rPr>
          </w:pPr>
          <w:r>
            <w:fldChar w:fldCharType="begin"/>
          </w:r>
          <w:r>
            <w:instrText xml:space="preserve"> TOC \o "1-3" \h \z \u </w:instrText>
          </w:r>
          <w:r>
            <w:fldChar w:fldCharType="separate"/>
          </w:r>
          <w:hyperlink w:anchor="_Toc241668165" w:history="1">
            <w:r w:rsidRPr="008E4FA9">
              <w:rPr>
                <w:rStyle w:val="Hipercze"/>
                <w:rFonts w:ascii="Calibri" w:hAnsi="Calibri"/>
                <w:noProof/>
              </w:rPr>
              <w:t>I Informacje na temat Priorytetów i Działań</w:t>
            </w:r>
            <w:r>
              <w:rPr>
                <w:noProof/>
                <w:webHidden/>
              </w:rPr>
              <w:tab/>
            </w:r>
            <w:r>
              <w:rPr>
                <w:noProof/>
                <w:webHidden/>
              </w:rPr>
              <w:fldChar w:fldCharType="begin"/>
            </w:r>
            <w:r>
              <w:rPr>
                <w:noProof/>
                <w:webHidden/>
              </w:rPr>
              <w:instrText xml:space="preserve"> PAGEREF _Toc241668165 \h </w:instrText>
            </w:r>
            <w:r>
              <w:rPr>
                <w:noProof/>
                <w:webHidden/>
              </w:rPr>
            </w:r>
            <w:r>
              <w:rPr>
                <w:noProof/>
                <w:webHidden/>
              </w:rPr>
              <w:fldChar w:fldCharType="separate"/>
            </w:r>
            <w:r w:rsidR="00695F61">
              <w:rPr>
                <w:noProof/>
                <w:webHidden/>
              </w:rPr>
              <w:t>9</w:t>
            </w:r>
            <w:r>
              <w:rPr>
                <w:noProof/>
                <w:webHidden/>
              </w:rPr>
              <w:fldChar w:fldCharType="end"/>
            </w:r>
          </w:hyperlink>
        </w:p>
        <w:p w14:paraId="44CE749B" w14:textId="1BA8AC37"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166" w:history="1">
            <w:r w:rsidRPr="008E4FA9">
              <w:rPr>
                <w:rStyle w:val="Hipercze"/>
                <w:rFonts w:ascii="Calibri" w:hAnsi="Calibri"/>
                <w:noProof/>
              </w:rPr>
              <w:t>Priorytet FELU.01 Badania naukowe i innowacje</w:t>
            </w:r>
            <w:r>
              <w:rPr>
                <w:noProof/>
                <w:webHidden/>
              </w:rPr>
              <w:tab/>
            </w:r>
            <w:r>
              <w:rPr>
                <w:noProof/>
                <w:webHidden/>
              </w:rPr>
              <w:fldChar w:fldCharType="begin"/>
            </w:r>
            <w:r>
              <w:rPr>
                <w:noProof/>
                <w:webHidden/>
              </w:rPr>
              <w:instrText xml:space="preserve"> PAGEREF _Toc241668166 \h </w:instrText>
            </w:r>
            <w:r>
              <w:rPr>
                <w:noProof/>
                <w:webHidden/>
              </w:rPr>
            </w:r>
            <w:r>
              <w:rPr>
                <w:noProof/>
                <w:webHidden/>
              </w:rPr>
              <w:fldChar w:fldCharType="separate"/>
            </w:r>
            <w:r w:rsidR="00695F61">
              <w:rPr>
                <w:noProof/>
                <w:webHidden/>
              </w:rPr>
              <w:t>9</w:t>
            </w:r>
            <w:r>
              <w:rPr>
                <w:noProof/>
                <w:webHidden/>
              </w:rPr>
              <w:fldChar w:fldCharType="end"/>
            </w:r>
          </w:hyperlink>
        </w:p>
        <w:p w14:paraId="3F5C3A3F" w14:textId="214F6324"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67" w:history="1">
            <w:r w:rsidRPr="008E4FA9">
              <w:rPr>
                <w:rStyle w:val="Hipercze"/>
                <w:rFonts w:ascii="Calibri" w:hAnsi="Calibri"/>
                <w:noProof/>
              </w:rPr>
              <w:t>Działanie FELU.01.01 Regionalna infrastruktura badawczo-rozwojowa</w:t>
            </w:r>
            <w:r>
              <w:rPr>
                <w:noProof/>
                <w:webHidden/>
              </w:rPr>
              <w:tab/>
            </w:r>
            <w:r>
              <w:rPr>
                <w:noProof/>
                <w:webHidden/>
              </w:rPr>
              <w:fldChar w:fldCharType="begin"/>
            </w:r>
            <w:r>
              <w:rPr>
                <w:noProof/>
                <w:webHidden/>
              </w:rPr>
              <w:instrText xml:space="preserve"> PAGEREF _Toc241668167 \h </w:instrText>
            </w:r>
            <w:r>
              <w:rPr>
                <w:noProof/>
                <w:webHidden/>
              </w:rPr>
            </w:r>
            <w:r>
              <w:rPr>
                <w:noProof/>
                <w:webHidden/>
              </w:rPr>
              <w:fldChar w:fldCharType="separate"/>
            </w:r>
            <w:r w:rsidR="00695F61">
              <w:rPr>
                <w:noProof/>
                <w:webHidden/>
              </w:rPr>
              <w:t>9</w:t>
            </w:r>
            <w:r>
              <w:rPr>
                <w:noProof/>
                <w:webHidden/>
              </w:rPr>
              <w:fldChar w:fldCharType="end"/>
            </w:r>
          </w:hyperlink>
        </w:p>
        <w:p w14:paraId="503357DB" w14:textId="4487A007"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68" w:history="1">
            <w:r w:rsidRPr="008E4FA9">
              <w:rPr>
                <w:rStyle w:val="Hipercze"/>
                <w:rFonts w:ascii="Calibri" w:hAnsi="Calibri"/>
                <w:noProof/>
              </w:rPr>
              <w:t>Działanie FELU.01.02 Infrastruktura wspomagająca rozwój technologiczny przedsiębiorstw</w:t>
            </w:r>
            <w:r>
              <w:rPr>
                <w:noProof/>
                <w:webHidden/>
              </w:rPr>
              <w:tab/>
            </w:r>
            <w:r>
              <w:rPr>
                <w:noProof/>
                <w:webHidden/>
              </w:rPr>
              <w:fldChar w:fldCharType="begin"/>
            </w:r>
            <w:r>
              <w:rPr>
                <w:noProof/>
                <w:webHidden/>
              </w:rPr>
              <w:instrText xml:space="preserve"> PAGEREF _Toc241668168 \h </w:instrText>
            </w:r>
            <w:r>
              <w:rPr>
                <w:noProof/>
                <w:webHidden/>
              </w:rPr>
            </w:r>
            <w:r>
              <w:rPr>
                <w:noProof/>
                <w:webHidden/>
              </w:rPr>
              <w:fldChar w:fldCharType="separate"/>
            </w:r>
            <w:r w:rsidR="00695F61">
              <w:rPr>
                <w:noProof/>
                <w:webHidden/>
              </w:rPr>
              <w:t>13</w:t>
            </w:r>
            <w:r>
              <w:rPr>
                <w:noProof/>
                <w:webHidden/>
              </w:rPr>
              <w:fldChar w:fldCharType="end"/>
            </w:r>
          </w:hyperlink>
        </w:p>
        <w:p w14:paraId="5CBE45A6" w14:textId="50589EB8"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69" w:history="1">
            <w:r w:rsidRPr="008E4FA9">
              <w:rPr>
                <w:rStyle w:val="Hipercze"/>
                <w:rFonts w:ascii="Calibri" w:hAnsi="Calibri"/>
                <w:noProof/>
              </w:rPr>
              <w:t>Działanie FELU.01.03 Badania i innowacje w sektorze przedsiębiorstw</w:t>
            </w:r>
            <w:r>
              <w:rPr>
                <w:noProof/>
                <w:webHidden/>
              </w:rPr>
              <w:tab/>
            </w:r>
            <w:r>
              <w:rPr>
                <w:noProof/>
                <w:webHidden/>
              </w:rPr>
              <w:fldChar w:fldCharType="begin"/>
            </w:r>
            <w:r>
              <w:rPr>
                <w:noProof/>
                <w:webHidden/>
              </w:rPr>
              <w:instrText xml:space="preserve"> PAGEREF _Toc241668169 \h </w:instrText>
            </w:r>
            <w:r>
              <w:rPr>
                <w:noProof/>
                <w:webHidden/>
              </w:rPr>
            </w:r>
            <w:r>
              <w:rPr>
                <w:noProof/>
                <w:webHidden/>
              </w:rPr>
              <w:fldChar w:fldCharType="separate"/>
            </w:r>
            <w:r w:rsidR="00695F61">
              <w:rPr>
                <w:noProof/>
                <w:webHidden/>
              </w:rPr>
              <w:t>17</w:t>
            </w:r>
            <w:r>
              <w:rPr>
                <w:noProof/>
                <w:webHidden/>
              </w:rPr>
              <w:fldChar w:fldCharType="end"/>
            </w:r>
          </w:hyperlink>
        </w:p>
        <w:p w14:paraId="0A82CA06" w14:textId="5E770577"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70" w:history="1">
            <w:r w:rsidRPr="008E4FA9">
              <w:rPr>
                <w:rStyle w:val="Hipercze"/>
                <w:rFonts w:ascii="Calibri" w:hAnsi="Calibri"/>
                <w:noProof/>
              </w:rPr>
              <w:t>Działanie FELU.01.04 Transfer technologii i komercjalizacja badań</w:t>
            </w:r>
            <w:r>
              <w:rPr>
                <w:noProof/>
                <w:webHidden/>
              </w:rPr>
              <w:tab/>
            </w:r>
            <w:r>
              <w:rPr>
                <w:noProof/>
                <w:webHidden/>
              </w:rPr>
              <w:fldChar w:fldCharType="begin"/>
            </w:r>
            <w:r>
              <w:rPr>
                <w:noProof/>
                <w:webHidden/>
              </w:rPr>
              <w:instrText xml:space="preserve"> PAGEREF _Toc241668170 \h </w:instrText>
            </w:r>
            <w:r>
              <w:rPr>
                <w:noProof/>
                <w:webHidden/>
              </w:rPr>
            </w:r>
            <w:r>
              <w:rPr>
                <w:noProof/>
                <w:webHidden/>
              </w:rPr>
              <w:fldChar w:fldCharType="separate"/>
            </w:r>
            <w:r w:rsidR="00695F61">
              <w:rPr>
                <w:noProof/>
                <w:webHidden/>
              </w:rPr>
              <w:t>22</w:t>
            </w:r>
            <w:r>
              <w:rPr>
                <w:noProof/>
                <w:webHidden/>
              </w:rPr>
              <w:fldChar w:fldCharType="end"/>
            </w:r>
          </w:hyperlink>
        </w:p>
        <w:p w14:paraId="568CFE0D" w14:textId="4D6649C1"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71" w:history="1">
            <w:r w:rsidRPr="008E4FA9">
              <w:rPr>
                <w:rStyle w:val="Hipercze"/>
                <w:rFonts w:ascii="Calibri" w:hAnsi="Calibri"/>
                <w:noProof/>
              </w:rPr>
              <w:t>Działanie FELU.01.05 Specjalizacja gospodarki regionalnej - działanie usunięte</w:t>
            </w:r>
            <w:r>
              <w:rPr>
                <w:noProof/>
                <w:webHidden/>
              </w:rPr>
              <w:tab/>
            </w:r>
            <w:r>
              <w:rPr>
                <w:noProof/>
                <w:webHidden/>
              </w:rPr>
              <w:fldChar w:fldCharType="begin"/>
            </w:r>
            <w:r>
              <w:rPr>
                <w:noProof/>
                <w:webHidden/>
              </w:rPr>
              <w:instrText xml:space="preserve"> PAGEREF _Toc241668171 \h </w:instrText>
            </w:r>
            <w:r>
              <w:rPr>
                <w:noProof/>
                <w:webHidden/>
              </w:rPr>
            </w:r>
            <w:r>
              <w:rPr>
                <w:noProof/>
                <w:webHidden/>
              </w:rPr>
              <w:fldChar w:fldCharType="separate"/>
            </w:r>
            <w:r w:rsidR="00695F61">
              <w:rPr>
                <w:noProof/>
                <w:webHidden/>
              </w:rPr>
              <w:t>25</w:t>
            </w:r>
            <w:r>
              <w:rPr>
                <w:noProof/>
                <w:webHidden/>
              </w:rPr>
              <w:fldChar w:fldCharType="end"/>
            </w:r>
          </w:hyperlink>
        </w:p>
        <w:p w14:paraId="79FB2990" w14:textId="6F4E6799"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72" w:history="1">
            <w:r w:rsidRPr="008E4FA9">
              <w:rPr>
                <w:rStyle w:val="Hipercze"/>
                <w:rFonts w:ascii="Calibri" w:hAnsi="Calibri"/>
                <w:noProof/>
              </w:rPr>
              <w:t>Działanie FELU.01.06 Wsparcie regionalnych ekosystemów innowacji</w:t>
            </w:r>
            <w:r>
              <w:rPr>
                <w:noProof/>
                <w:webHidden/>
              </w:rPr>
              <w:tab/>
            </w:r>
            <w:r>
              <w:rPr>
                <w:noProof/>
                <w:webHidden/>
              </w:rPr>
              <w:fldChar w:fldCharType="begin"/>
            </w:r>
            <w:r>
              <w:rPr>
                <w:noProof/>
                <w:webHidden/>
              </w:rPr>
              <w:instrText xml:space="preserve"> PAGEREF _Toc241668172 \h </w:instrText>
            </w:r>
            <w:r>
              <w:rPr>
                <w:noProof/>
                <w:webHidden/>
              </w:rPr>
            </w:r>
            <w:r>
              <w:rPr>
                <w:noProof/>
                <w:webHidden/>
              </w:rPr>
              <w:fldChar w:fldCharType="separate"/>
            </w:r>
            <w:r w:rsidR="00695F61">
              <w:rPr>
                <w:noProof/>
                <w:webHidden/>
              </w:rPr>
              <w:t>27</w:t>
            </w:r>
            <w:r>
              <w:rPr>
                <w:noProof/>
                <w:webHidden/>
              </w:rPr>
              <w:fldChar w:fldCharType="end"/>
            </w:r>
          </w:hyperlink>
        </w:p>
        <w:p w14:paraId="33766848" w14:textId="6CCEDF74"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173" w:history="1">
            <w:r w:rsidRPr="008E4FA9">
              <w:rPr>
                <w:rStyle w:val="Hipercze"/>
                <w:rFonts w:ascii="Calibri" w:hAnsi="Calibri"/>
                <w:noProof/>
              </w:rPr>
              <w:t>Priorytet FELU.02 Transformacja gospodarcza i cyfrowa regionu</w:t>
            </w:r>
            <w:r>
              <w:rPr>
                <w:noProof/>
                <w:webHidden/>
              </w:rPr>
              <w:tab/>
            </w:r>
            <w:r>
              <w:rPr>
                <w:noProof/>
                <w:webHidden/>
              </w:rPr>
              <w:fldChar w:fldCharType="begin"/>
            </w:r>
            <w:r>
              <w:rPr>
                <w:noProof/>
                <w:webHidden/>
              </w:rPr>
              <w:instrText xml:space="preserve"> PAGEREF _Toc241668173 \h </w:instrText>
            </w:r>
            <w:r>
              <w:rPr>
                <w:noProof/>
                <w:webHidden/>
              </w:rPr>
            </w:r>
            <w:r>
              <w:rPr>
                <w:noProof/>
                <w:webHidden/>
              </w:rPr>
              <w:fldChar w:fldCharType="separate"/>
            </w:r>
            <w:r w:rsidR="00695F61">
              <w:rPr>
                <w:noProof/>
                <w:webHidden/>
              </w:rPr>
              <w:t>31</w:t>
            </w:r>
            <w:r>
              <w:rPr>
                <w:noProof/>
                <w:webHidden/>
              </w:rPr>
              <w:fldChar w:fldCharType="end"/>
            </w:r>
          </w:hyperlink>
        </w:p>
        <w:p w14:paraId="608B6C71" w14:textId="7E80F82A"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74" w:history="1">
            <w:r w:rsidRPr="008E4FA9">
              <w:rPr>
                <w:rStyle w:val="Hipercze"/>
                <w:rFonts w:ascii="Calibri" w:hAnsi="Calibri"/>
                <w:noProof/>
              </w:rPr>
              <w:t>Działanie FELU.02.01 Cyfrowe Lubelskie</w:t>
            </w:r>
            <w:r>
              <w:rPr>
                <w:noProof/>
                <w:webHidden/>
              </w:rPr>
              <w:tab/>
            </w:r>
            <w:r>
              <w:rPr>
                <w:noProof/>
                <w:webHidden/>
              </w:rPr>
              <w:fldChar w:fldCharType="begin"/>
            </w:r>
            <w:r>
              <w:rPr>
                <w:noProof/>
                <w:webHidden/>
              </w:rPr>
              <w:instrText xml:space="preserve"> PAGEREF _Toc241668174 \h </w:instrText>
            </w:r>
            <w:r>
              <w:rPr>
                <w:noProof/>
                <w:webHidden/>
              </w:rPr>
            </w:r>
            <w:r>
              <w:rPr>
                <w:noProof/>
                <w:webHidden/>
              </w:rPr>
              <w:fldChar w:fldCharType="separate"/>
            </w:r>
            <w:r w:rsidR="00695F61">
              <w:rPr>
                <w:noProof/>
                <w:webHidden/>
              </w:rPr>
              <w:t>31</w:t>
            </w:r>
            <w:r>
              <w:rPr>
                <w:noProof/>
                <w:webHidden/>
              </w:rPr>
              <w:fldChar w:fldCharType="end"/>
            </w:r>
          </w:hyperlink>
        </w:p>
        <w:p w14:paraId="5FCC2688" w14:textId="5D253FA6"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75" w:history="1">
            <w:r w:rsidRPr="008E4FA9">
              <w:rPr>
                <w:rStyle w:val="Hipercze"/>
                <w:rFonts w:ascii="Calibri" w:hAnsi="Calibri"/>
                <w:noProof/>
              </w:rPr>
              <w:t>Działanie FELU.02.02 Cyfrowe Lubelskie w ramach Zintegrowanych Inwestycji Terytorialnych Miejskich Obszarów Funkcjonalnych</w:t>
            </w:r>
            <w:r>
              <w:rPr>
                <w:noProof/>
                <w:webHidden/>
              </w:rPr>
              <w:tab/>
            </w:r>
            <w:r>
              <w:rPr>
                <w:noProof/>
                <w:webHidden/>
              </w:rPr>
              <w:fldChar w:fldCharType="begin"/>
            </w:r>
            <w:r>
              <w:rPr>
                <w:noProof/>
                <w:webHidden/>
              </w:rPr>
              <w:instrText xml:space="preserve"> PAGEREF _Toc241668175 \h </w:instrText>
            </w:r>
            <w:r>
              <w:rPr>
                <w:noProof/>
                <w:webHidden/>
              </w:rPr>
            </w:r>
            <w:r>
              <w:rPr>
                <w:noProof/>
                <w:webHidden/>
              </w:rPr>
              <w:fldChar w:fldCharType="separate"/>
            </w:r>
            <w:r w:rsidR="00695F61">
              <w:rPr>
                <w:noProof/>
                <w:webHidden/>
              </w:rPr>
              <w:t>36</w:t>
            </w:r>
            <w:r>
              <w:rPr>
                <w:noProof/>
                <w:webHidden/>
              </w:rPr>
              <w:fldChar w:fldCharType="end"/>
            </w:r>
          </w:hyperlink>
        </w:p>
        <w:p w14:paraId="35EF166F" w14:textId="37466208"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76" w:history="1">
            <w:r w:rsidRPr="008E4FA9">
              <w:rPr>
                <w:rStyle w:val="Hipercze"/>
                <w:rFonts w:ascii="Calibri" w:hAnsi="Calibri"/>
                <w:noProof/>
              </w:rPr>
              <w:t>Działanie FELU.02.03 Cyfrowe Lubelskie w ochronie zdrowia</w:t>
            </w:r>
            <w:r>
              <w:rPr>
                <w:noProof/>
                <w:webHidden/>
              </w:rPr>
              <w:tab/>
            </w:r>
            <w:r>
              <w:rPr>
                <w:noProof/>
                <w:webHidden/>
              </w:rPr>
              <w:fldChar w:fldCharType="begin"/>
            </w:r>
            <w:r>
              <w:rPr>
                <w:noProof/>
                <w:webHidden/>
              </w:rPr>
              <w:instrText xml:space="preserve"> PAGEREF _Toc241668176 \h </w:instrText>
            </w:r>
            <w:r>
              <w:rPr>
                <w:noProof/>
                <w:webHidden/>
              </w:rPr>
            </w:r>
            <w:r>
              <w:rPr>
                <w:noProof/>
                <w:webHidden/>
              </w:rPr>
              <w:fldChar w:fldCharType="separate"/>
            </w:r>
            <w:r w:rsidR="00695F61">
              <w:rPr>
                <w:noProof/>
                <w:webHidden/>
              </w:rPr>
              <w:t>40</w:t>
            </w:r>
            <w:r>
              <w:rPr>
                <w:noProof/>
                <w:webHidden/>
              </w:rPr>
              <w:fldChar w:fldCharType="end"/>
            </w:r>
          </w:hyperlink>
        </w:p>
        <w:p w14:paraId="303C70CC" w14:textId="7FC57DC3"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77" w:history="1">
            <w:r w:rsidRPr="008E4FA9">
              <w:rPr>
                <w:rStyle w:val="Hipercze"/>
                <w:rFonts w:ascii="Calibri" w:hAnsi="Calibri"/>
                <w:noProof/>
              </w:rPr>
              <w:t>Działanie FELU.02.04 Cyfryzacja  lubelskich MŚP</w:t>
            </w:r>
            <w:r>
              <w:rPr>
                <w:noProof/>
                <w:webHidden/>
              </w:rPr>
              <w:tab/>
            </w:r>
            <w:r>
              <w:rPr>
                <w:noProof/>
                <w:webHidden/>
              </w:rPr>
              <w:fldChar w:fldCharType="begin"/>
            </w:r>
            <w:r>
              <w:rPr>
                <w:noProof/>
                <w:webHidden/>
              </w:rPr>
              <w:instrText xml:space="preserve"> PAGEREF _Toc241668177 \h </w:instrText>
            </w:r>
            <w:r>
              <w:rPr>
                <w:noProof/>
                <w:webHidden/>
              </w:rPr>
            </w:r>
            <w:r>
              <w:rPr>
                <w:noProof/>
                <w:webHidden/>
              </w:rPr>
              <w:fldChar w:fldCharType="separate"/>
            </w:r>
            <w:r w:rsidR="00695F61">
              <w:rPr>
                <w:noProof/>
                <w:webHidden/>
              </w:rPr>
              <w:t>44</w:t>
            </w:r>
            <w:r>
              <w:rPr>
                <w:noProof/>
                <w:webHidden/>
              </w:rPr>
              <w:fldChar w:fldCharType="end"/>
            </w:r>
          </w:hyperlink>
        </w:p>
        <w:p w14:paraId="19C01F19" w14:textId="1FB4D76F"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78" w:history="1">
            <w:r w:rsidRPr="008E4FA9">
              <w:rPr>
                <w:rStyle w:val="Hipercze"/>
                <w:rFonts w:ascii="Calibri" w:hAnsi="Calibri"/>
                <w:noProof/>
              </w:rPr>
              <w:t>Działanie FELU.02.05 Usługi dla MŚP</w:t>
            </w:r>
            <w:r>
              <w:rPr>
                <w:noProof/>
                <w:webHidden/>
              </w:rPr>
              <w:tab/>
            </w:r>
            <w:r>
              <w:rPr>
                <w:noProof/>
                <w:webHidden/>
              </w:rPr>
              <w:fldChar w:fldCharType="begin"/>
            </w:r>
            <w:r>
              <w:rPr>
                <w:noProof/>
                <w:webHidden/>
              </w:rPr>
              <w:instrText xml:space="preserve"> PAGEREF _Toc241668178 \h </w:instrText>
            </w:r>
            <w:r>
              <w:rPr>
                <w:noProof/>
                <w:webHidden/>
              </w:rPr>
            </w:r>
            <w:r>
              <w:rPr>
                <w:noProof/>
                <w:webHidden/>
              </w:rPr>
              <w:fldChar w:fldCharType="separate"/>
            </w:r>
            <w:r w:rsidR="00695F61">
              <w:rPr>
                <w:noProof/>
                <w:webHidden/>
              </w:rPr>
              <w:t>47</w:t>
            </w:r>
            <w:r>
              <w:rPr>
                <w:noProof/>
                <w:webHidden/>
              </w:rPr>
              <w:fldChar w:fldCharType="end"/>
            </w:r>
          </w:hyperlink>
        </w:p>
        <w:p w14:paraId="7A75C584" w14:textId="25509EC9"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79" w:history="1">
            <w:r w:rsidRPr="008E4FA9">
              <w:rPr>
                <w:rStyle w:val="Hipercze"/>
                <w:rFonts w:ascii="Calibri" w:hAnsi="Calibri"/>
                <w:noProof/>
              </w:rPr>
              <w:t>Działanie FELU.02.06 Inwestycje rozwojowe w MŚP</w:t>
            </w:r>
            <w:r>
              <w:rPr>
                <w:noProof/>
                <w:webHidden/>
              </w:rPr>
              <w:tab/>
            </w:r>
            <w:r>
              <w:rPr>
                <w:noProof/>
                <w:webHidden/>
              </w:rPr>
              <w:fldChar w:fldCharType="begin"/>
            </w:r>
            <w:r>
              <w:rPr>
                <w:noProof/>
                <w:webHidden/>
              </w:rPr>
              <w:instrText xml:space="preserve"> PAGEREF _Toc241668179 \h </w:instrText>
            </w:r>
            <w:r>
              <w:rPr>
                <w:noProof/>
                <w:webHidden/>
              </w:rPr>
            </w:r>
            <w:r>
              <w:rPr>
                <w:noProof/>
                <w:webHidden/>
              </w:rPr>
              <w:fldChar w:fldCharType="separate"/>
            </w:r>
            <w:r w:rsidR="00695F61">
              <w:rPr>
                <w:noProof/>
                <w:webHidden/>
              </w:rPr>
              <w:t>51</w:t>
            </w:r>
            <w:r>
              <w:rPr>
                <w:noProof/>
                <w:webHidden/>
              </w:rPr>
              <w:fldChar w:fldCharType="end"/>
            </w:r>
          </w:hyperlink>
        </w:p>
        <w:p w14:paraId="13274514" w14:textId="0BBA448C"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80" w:history="1">
            <w:r w:rsidRPr="008E4FA9">
              <w:rPr>
                <w:rStyle w:val="Hipercze"/>
                <w:rFonts w:ascii="Calibri" w:hAnsi="Calibri"/>
                <w:noProof/>
              </w:rPr>
              <w:t>Działanie FELU.02.07 Lubelskie MŚP na rynkach zagranicznych</w:t>
            </w:r>
            <w:r>
              <w:rPr>
                <w:noProof/>
                <w:webHidden/>
              </w:rPr>
              <w:tab/>
            </w:r>
            <w:r>
              <w:rPr>
                <w:noProof/>
                <w:webHidden/>
              </w:rPr>
              <w:fldChar w:fldCharType="begin"/>
            </w:r>
            <w:r>
              <w:rPr>
                <w:noProof/>
                <w:webHidden/>
              </w:rPr>
              <w:instrText xml:space="preserve"> PAGEREF _Toc241668180 \h </w:instrText>
            </w:r>
            <w:r>
              <w:rPr>
                <w:noProof/>
                <w:webHidden/>
              </w:rPr>
            </w:r>
            <w:r>
              <w:rPr>
                <w:noProof/>
                <w:webHidden/>
              </w:rPr>
              <w:fldChar w:fldCharType="separate"/>
            </w:r>
            <w:r w:rsidR="00695F61">
              <w:rPr>
                <w:noProof/>
                <w:webHidden/>
              </w:rPr>
              <w:t>54</w:t>
            </w:r>
            <w:r>
              <w:rPr>
                <w:noProof/>
                <w:webHidden/>
              </w:rPr>
              <w:fldChar w:fldCharType="end"/>
            </w:r>
          </w:hyperlink>
        </w:p>
        <w:p w14:paraId="6491C7EF" w14:textId="6DDC350C"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81" w:history="1">
            <w:r w:rsidRPr="008E4FA9">
              <w:rPr>
                <w:rStyle w:val="Hipercze"/>
                <w:rFonts w:ascii="Calibri" w:hAnsi="Calibri"/>
                <w:noProof/>
              </w:rPr>
              <w:t>Działanie FELU.02.08 Budowa i rozwój powiązań klastrowych</w:t>
            </w:r>
            <w:r>
              <w:rPr>
                <w:noProof/>
                <w:webHidden/>
              </w:rPr>
              <w:tab/>
            </w:r>
            <w:r>
              <w:rPr>
                <w:noProof/>
                <w:webHidden/>
              </w:rPr>
              <w:fldChar w:fldCharType="begin"/>
            </w:r>
            <w:r>
              <w:rPr>
                <w:noProof/>
                <w:webHidden/>
              </w:rPr>
              <w:instrText xml:space="preserve"> PAGEREF _Toc241668181 \h </w:instrText>
            </w:r>
            <w:r>
              <w:rPr>
                <w:noProof/>
                <w:webHidden/>
              </w:rPr>
            </w:r>
            <w:r>
              <w:rPr>
                <w:noProof/>
                <w:webHidden/>
              </w:rPr>
              <w:fldChar w:fldCharType="separate"/>
            </w:r>
            <w:r w:rsidR="00695F61">
              <w:rPr>
                <w:noProof/>
                <w:webHidden/>
              </w:rPr>
              <w:t>57</w:t>
            </w:r>
            <w:r>
              <w:rPr>
                <w:noProof/>
                <w:webHidden/>
              </w:rPr>
              <w:fldChar w:fldCharType="end"/>
            </w:r>
          </w:hyperlink>
        </w:p>
        <w:p w14:paraId="47B01A74" w14:textId="7EF6FFE8"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182" w:history="1">
            <w:r w:rsidRPr="008E4FA9">
              <w:rPr>
                <w:rStyle w:val="Hipercze"/>
                <w:rFonts w:ascii="Calibri" w:hAnsi="Calibri"/>
                <w:noProof/>
              </w:rPr>
              <w:t>Priorytet FELU.03 Ochrona zasobów środowiska i klimatu</w:t>
            </w:r>
            <w:r>
              <w:rPr>
                <w:noProof/>
                <w:webHidden/>
              </w:rPr>
              <w:tab/>
            </w:r>
            <w:r>
              <w:rPr>
                <w:noProof/>
                <w:webHidden/>
              </w:rPr>
              <w:fldChar w:fldCharType="begin"/>
            </w:r>
            <w:r>
              <w:rPr>
                <w:noProof/>
                <w:webHidden/>
              </w:rPr>
              <w:instrText xml:space="preserve"> PAGEREF _Toc241668182 \h </w:instrText>
            </w:r>
            <w:r>
              <w:rPr>
                <w:noProof/>
                <w:webHidden/>
              </w:rPr>
            </w:r>
            <w:r>
              <w:rPr>
                <w:noProof/>
                <w:webHidden/>
              </w:rPr>
              <w:fldChar w:fldCharType="separate"/>
            </w:r>
            <w:r w:rsidR="00695F61">
              <w:rPr>
                <w:noProof/>
                <w:webHidden/>
              </w:rPr>
              <w:t>60</w:t>
            </w:r>
            <w:r>
              <w:rPr>
                <w:noProof/>
                <w:webHidden/>
              </w:rPr>
              <w:fldChar w:fldCharType="end"/>
            </w:r>
          </w:hyperlink>
        </w:p>
        <w:p w14:paraId="49F3ACEE" w14:textId="5AA0D5CD"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83" w:history="1">
            <w:r w:rsidRPr="008E4FA9">
              <w:rPr>
                <w:rStyle w:val="Hipercze"/>
                <w:rFonts w:ascii="Calibri" w:hAnsi="Calibri"/>
                <w:noProof/>
              </w:rPr>
              <w:t>Działanie FELU.03.01 Bezpieczeństwo ekologiczne</w:t>
            </w:r>
            <w:r>
              <w:rPr>
                <w:noProof/>
                <w:webHidden/>
              </w:rPr>
              <w:tab/>
            </w:r>
            <w:r>
              <w:rPr>
                <w:noProof/>
                <w:webHidden/>
              </w:rPr>
              <w:fldChar w:fldCharType="begin"/>
            </w:r>
            <w:r>
              <w:rPr>
                <w:noProof/>
                <w:webHidden/>
              </w:rPr>
              <w:instrText xml:space="preserve"> PAGEREF _Toc241668183 \h </w:instrText>
            </w:r>
            <w:r>
              <w:rPr>
                <w:noProof/>
                <w:webHidden/>
              </w:rPr>
            </w:r>
            <w:r>
              <w:rPr>
                <w:noProof/>
                <w:webHidden/>
              </w:rPr>
              <w:fldChar w:fldCharType="separate"/>
            </w:r>
            <w:r w:rsidR="00695F61">
              <w:rPr>
                <w:noProof/>
                <w:webHidden/>
              </w:rPr>
              <w:t>61</w:t>
            </w:r>
            <w:r>
              <w:rPr>
                <w:noProof/>
                <w:webHidden/>
              </w:rPr>
              <w:fldChar w:fldCharType="end"/>
            </w:r>
          </w:hyperlink>
        </w:p>
        <w:p w14:paraId="243E09AB" w14:textId="41E4B873"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84" w:history="1">
            <w:r w:rsidRPr="008E4FA9">
              <w:rPr>
                <w:rStyle w:val="Hipercze"/>
                <w:rFonts w:ascii="Calibri" w:hAnsi="Calibri"/>
                <w:noProof/>
              </w:rPr>
              <w:t>Działanie FELU.03.02 Dostosowanie do zmian klimatu i zapobieganie powodziom i suszy</w:t>
            </w:r>
            <w:r>
              <w:rPr>
                <w:noProof/>
                <w:webHidden/>
              </w:rPr>
              <w:tab/>
            </w:r>
            <w:r>
              <w:rPr>
                <w:noProof/>
                <w:webHidden/>
              </w:rPr>
              <w:fldChar w:fldCharType="begin"/>
            </w:r>
            <w:r>
              <w:rPr>
                <w:noProof/>
                <w:webHidden/>
              </w:rPr>
              <w:instrText xml:space="preserve"> PAGEREF _Toc241668184 \h </w:instrText>
            </w:r>
            <w:r>
              <w:rPr>
                <w:noProof/>
                <w:webHidden/>
              </w:rPr>
            </w:r>
            <w:r>
              <w:rPr>
                <w:noProof/>
                <w:webHidden/>
              </w:rPr>
              <w:fldChar w:fldCharType="separate"/>
            </w:r>
            <w:r w:rsidR="00695F61">
              <w:rPr>
                <w:noProof/>
                <w:webHidden/>
              </w:rPr>
              <w:t>64</w:t>
            </w:r>
            <w:r>
              <w:rPr>
                <w:noProof/>
                <w:webHidden/>
              </w:rPr>
              <w:fldChar w:fldCharType="end"/>
            </w:r>
          </w:hyperlink>
        </w:p>
        <w:p w14:paraId="7B05AB7A" w14:textId="4E03E7E7"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85" w:history="1">
            <w:r w:rsidRPr="008E4FA9">
              <w:rPr>
                <w:rStyle w:val="Hipercze"/>
                <w:rFonts w:ascii="Calibri" w:hAnsi="Calibri"/>
                <w:noProof/>
              </w:rPr>
              <w:t>Działanie FELU.03.03 Bezpieczeństwo ekologiczne oraz dostosowanie do zmian klimatu i zapobieganie powodziom i suszy w ramach Zintegrowanych Inwestycji Terytorialnych Miejskich Obszarów Funkcjonalnych</w:t>
            </w:r>
            <w:r>
              <w:rPr>
                <w:noProof/>
                <w:webHidden/>
              </w:rPr>
              <w:tab/>
            </w:r>
            <w:r>
              <w:rPr>
                <w:noProof/>
                <w:webHidden/>
              </w:rPr>
              <w:fldChar w:fldCharType="begin"/>
            </w:r>
            <w:r>
              <w:rPr>
                <w:noProof/>
                <w:webHidden/>
              </w:rPr>
              <w:instrText xml:space="preserve"> PAGEREF _Toc241668185 \h </w:instrText>
            </w:r>
            <w:r>
              <w:rPr>
                <w:noProof/>
                <w:webHidden/>
              </w:rPr>
            </w:r>
            <w:r>
              <w:rPr>
                <w:noProof/>
                <w:webHidden/>
              </w:rPr>
              <w:fldChar w:fldCharType="separate"/>
            </w:r>
            <w:r w:rsidR="00695F61">
              <w:rPr>
                <w:noProof/>
                <w:webHidden/>
              </w:rPr>
              <w:t>68</w:t>
            </w:r>
            <w:r>
              <w:rPr>
                <w:noProof/>
                <w:webHidden/>
              </w:rPr>
              <w:fldChar w:fldCharType="end"/>
            </w:r>
          </w:hyperlink>
        </w:p>
        <w:p w14:paraId="239056AA" w14:textId="05E958E8"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86" w:history="1">
            <w:r w:rsidRPr="008E4FA9">
              <w:rPr>
                <w:rStyle w:val="Hipercze"/>
                <w:rFonts w:ascii="Calibri" w:hAnsi="Calibri"/>
                <w:noProof/>
              </w:rPr>
              <w:t>Działanie FELU.03.04 Zrównoważona gospodarka wodno-ściekowa</w:t>
            </w:r>
            <w:r>
              <w:rPr>
                <w:noProof/>
                <w:webHidden/>
              </w:rPr>
              <w:tab/>
            </w:r>
            <w:r>
              <w:rPr>
                <w:noProof/>
                <w:webHidden/>
              </w:rPr>
              <w:fldChar w:fldCharType="begin"/>
            </w:r>
            <w:r>
              <w:rPr>
                <w:noProof/>
                <w:webHidden/>
              </w:rPr>
              <w:instrText xml:space="preserve"> PAGEREF _Toc241668186 \h </w:instrText>
            </w:r>
            <w:r>
              <w:rPr>
                <w:noProof/>
                <w:webHidden/>
              </w:rPr>
            </w:r>
            <w:r>
              <w:rPr>
                <w:noProof/>
                <w:webHidden/>
              </w:rPr>
              <w:fldChar w:fldCharType="separate"/>
            </w:r>
            <w:r w:rsidR="00695F61">
              <w:rPr>
                <w:noProof/>
                <w:webHidden/>
              </w:rPr>
              <w:t>73</w:t>
            </w:r>
            <w:r>
              <w:rPr>
                <w:noProof/>
                <w:webHidden/>
              </w:rPr>
              <w:fldChar w:fldCharType="end"/>
            </w:r>
          </w:hyperlink>
        </w:p>
        <w:p w14:paraId="73598E99" w14:textId="198AF3CA"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87" w:history="1">
            <w:r w:rsidRPr="008E4FA9">
              <w:rPr>
                <w:rStyle w:val="Hipercze"/>
                <w:rFonts w:ascii="Calibri" w:hAnsi="Calibri"/>
                <w:noProof/>
              </w:rPr>
              <w:t>Działanie FELU.03.05 Zrównoważona gospodarka wodno-ściekowa w ramach Zintegrowanych Inwestycji Terytorialnych</w:t>
            </w:r>
            <w:r>
              <w:rPr>
                <w:noProof/>
                <w:webHidden/>
              </w:rPr>
              <w:tab/>
            </w:r>
            <w:r>
              <w:rPr>
                <w:noProof/>
                <w:webHidden/>
              </w:rPr>
              <w:fldChar w:fldCharType="begin"/>
            </w:r>
            <w:r>
              <w:rPr>
                <w:noProof/>
                <w:webHidden/>
              </w:rPr>
              <w:instrText xml:space="preserve"> PAGEREF _Toc241668187 \h </w:instrText>
            </w:r>
            <w:r>
              <w:rPr>
                <w:noProof/>
                <w:webHidden/>
              </w:rPr>
            </w:r>
            <w:r>
              <w:rPr>
                <w:noProof/>
                <w:webHidden/>
              </w:rPr>
              <w:fldChar w:fldCharType="separate"/>
            </w:r>
            <w:r w:rsidR="00695F61">
              <w:rPr>
                <w:noProof/>
                <w:webHidden/>
              </w:rPr>
              <w:t>78</w:t>
            </w:r>
            <w:r>
              <w:rPr>
                <w:noProof/>
                <w:webHidden/>
              </w:rPr>
              <w:fldChar w:fldCharType="end"/>
            </w:r>
          </w:hyperlink>
        </w:p>
        <w:p w14:paraId="4DC0716D" w14:textId="4C391FA9"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88" w:history="1">
            <w:r w:rsidRPr="008E4FA9">
              <w:rPr>
                <w:rStyle w:val="Hipercze"/>
                <w:rFonts w:ascii="Calibri" w:hAnsi="Calibri"/>
                <w:noProof/>
              </w:rPr>
              <w:t>Działanie FELU.03.06 Gospodarka odpadami w sektorze publicznym</w:t>
            </w:r>
            <w:r>
              <w:rPr>
                <w:noProof/>
                <w:webHidden/>
              </w:rPr>
              <w:tab/>
            </w:r>
            <w:r>
              <w:rPr>
                <w:noProof/>
                <w:webHidden/>
              </w:rPr>
              <w:fldChar w:fldCharType="begin"/>
            </w:r>
            <w:r>
              <w:rPr>
                <w:noProof/>
                <w:webHidden/>
              </w:rPr>
              <w:instrText xml:space="preserve"> PAGEREF _Toc241668188 \h </w:instrText>
            </w:r>
            <w:r>
              <w:rPr>
                <w:noProof/>
                <w:webHidden/>
              </w:rPr>
            </w:r>
            <w:r>
              <w:rPr>
                <w:noProof/>
                <w:webHidden/>
              </w:rPr>
              <w:fldChar w:fldCharType="separate"/>
            </w:r>
            <w:r w:rsidR="00695F61">
              <w:rPr>
                <w:noProof/>
                <w:webHidden/>
              </w:rPr>
              <w:t>82</w:t>
            </w:r>
            <w:r>
              <w:rPr>
                <w:noProof/>
                <w:webHidden/>
              </w:rPr>
              <w:fldChar w:fldCharType="end"/>
            </w:r>
          </w:hyperlink>
        </w:p>
        <w:p w14:paraId="6ACC4786" w14:textId="49C8C62D"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89" w:history="1">
            <w:r w:rsidRPr="008E4FA9">
              <w:rPr>
                <w:rStyle w:val="Hipercze"/>
                <w:rFonts w:ascii="Calibri" w:hAnsi="Calibri"/>
                <w:noProof/>
              </w:rPr>
              <w:t>Działanie FELU.03.07 Gospodarka odpadami w sektorze publicznym w ramach Zintegrowanych Inwestycji Terytorialnych Miejskich Obszarów Funkcjonalnych</w:t>
            </w:r>
            <w:r>
              <w:rPr>
                <w:noProof/>
                <w:webHidden/>
              </w:rPr>
              <w:tab/>
            </w:r>
            <w:r>
              <w:rPr>
                <w:noProof/>
                <w:webHidden/>
              </w:rPr>
              <w:fldChar w:fldCharType="begin"/>
            </w:r>
            <w:r>
              <w:rPr>
                <w:noProof/>
                <w:webHidden/>
              </w:rPr>
              <w:instrText xml:space="preserve"> PAGEREF _Toc241668189 \h </w:instrText>
            </w:r>
            <w:r>
              <w:rPr>
                <w:noProof/>
                <w:webHidden/>
              </w:rPr>
            </w:r>
            <w:r>
              <w:rPr>
                <w:noProof/>
                <w:webHidden/>
              </w:rPr>
              <w:fldChar w:fldCharType="separate"/>
            </w:r>
            <w:r w:rsidR="00695F61">
              <w:rPr>
                <w:noProof/>
                <w:webHidden/>
              </w:rPr>
              <w:t>87</w:t>
            </w:r>
            <w:r>
              <w:rPr>
                <w:noProof/>
                <w:webHidden/>
              </w:rPr>
              <w:fldChar w:fldCharType="end"/>
            </w:r>
          </w:hyperlink>
        </w:p>
        <w:p w14:paraId="39E0D338" w14:textId="3DD2C2C1"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90" w:history="1">
            <w:r w:rsidRPr="008E4FA9">
              <w:rPr>
                <w:rStyle w:val="Hipercze"/>
                <w:rFonts w:ascii="Calibri" w:hAnsi="Calibri"/>
                <w:noProof/>
              </w:rPr>
              <w:t>Działanie FELU.03.08 GOZ w przedsiębiorstwach</w:t>
            </w:r>
            <w:r>
              <w:rPr>
                <w:noProof/>
                <w:webHidden/>
              </w:rPr>
              <w:tab/>
            </w:r>
            <w:r>
              <w:rPr>
                <w:noProof/>
                <w:webHidden/>
              </w:rPr>
              <w:fldChar w:fldCharType="begin"/>
            </w:r>
            <w:r>
              <w:rPr>
                <w:noProof/>
                <w:webHidden/>
              </w:rPr>
              <w:instrText xml:space="preserve"> PAGEREF _Toc241668190 \h </w:instrText>
            </w:r>
            <w:r>
              <w:rPr>
                <w:noProof/>
                <w:webHidden/>
              </w:rPr>
            </w:r>
            <w:r>
              <w:rPr>
                <w:noProof/>
                <w:webHidden/>
              </w:rPr>
              <w:fldChar w:fldCharType="separate"/>
            </w:r>
            <w:r w:rsidR="00695F61">
              <w:rPr>
                <w:noProof/>
                <w:webHidden/>
              </w:rPr>
              <w:t>91</w:t>
            </w:r>
            <w:r>
              <w:rPr>
                <w:noProof/>
                <w:webHidden/>
              </w:rPr>
              <w:fldChar w:fldCharType="end"/>
            </w:r>
          </w:hyperlink>
        </w:p>
        <w:p w14:paraId="0113E8C9" w14:textId="0EAF210C"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91" w:history="1">
            <w:r w:rsidRPr="008E4FA9">
              <w:rPr>
                <w:rStyle w:val="Hipercze"/>
                <w:rFonts w:ascii="Calibri" w:hAnsi="Calibri"/>
                <w:noProof/>
              </w:rPr>
              <w:t>Działanie FELU.03.09 Ochrona bioróżnorodności na obszarach objętych formami ochrony przyrody</w:t>
            </w:r>
            <w:r>
              <w:rPr>
                <w:noProof/>
                <w:webHidden/>
              </w:rPr>
              <w:tab/>
            </w:r>
            <w:r>
              <w:rPr>
                <w:noProof/>
                <w:webHidden/>
              </w:rPr>
              <w:fldChar w:fldCharType="begin"/>
            </w:r>
            <w:r>
              <w:rPr>
                <w:noProof/>
                <w:webHidden/>
              </w:rPr>
              <w:instrText xml:space="preserve"> PAGEREF _Toc241668191 \h </w:instrText>
            </w:r>
            <w:r>
              <w:rPr>
                <w:noProof/>
                <w:webHidden/>
              </w:rPr>
            </w:r>
            <w:r>
              <w:rPr>
                <w:noProof/>
                <w:webHidden/>
              </w:rPr>
              <w:fldChar w:fldCharType="separate"/>
            </w:r>
            <w:r w:rsidR="00695F61">
              <w:rPr>
                <w:noProof/>
                <w:webHidden/>
              </w:rPr>
              <w:t>95</w:t>
            </w:r>
            <w:r>
              <w:rPr>
                <w:noProof/>
                <w:webHidden/>
              </w:rPr>
              <w:fldChar w:fldCharType="end"/>
            </w:r>
          </w:hyperlink>
        </w:p>
        <w:p w14:paraId="73D60789" w14:textId="0AB57210"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92" w:history="1">
            <w:r w:rsidRPr="008E4FA9">
              <w:rPr>
                <w:rStyle w:val="Hipercze"/>
                <w:rFonts w:ascii="Calibri" w:hAnsi="Calibri"/>
                <w:noProof/>
              </w:rPr>
              <w:t>Działanie FELU.03.10 Ochrona bioróżnorodności na obszarach poza formami ochrony przyrody</w:t>
            </w:r>
            <w:r>
              <w:rPr>
                <w:noProof/>
                <w:webHidden/>
              </w:rPr>
              <w:tab/>
            </w:r>
            <w:r>
              <w:rPr>
                <w:noProof/>
                <w:webHidden/>
              </w:rPr>
              <w:fldChar w:fldCharType="begin"/>
            </w:r>
            <w:r>
              <w:rPr>
                <w:noProof/>
                <w:webHidden/>
              </w:rPr>
              <w:instrText xml:space="preserve"> PAGEREF _Toc241668192 \h </w:instrText>
            </w:r>
            <w:r>
              <w:rPr>
                <w:noProof/>
                <w:webHidden/>
              </w:rPr>
            </w:r>
            <w:r>
              <w:rPr>
                <w:noProof/>
                <w:webHidden/>
              </w:rPr>
              <w:fldChar w:fldCharType="separate"/>
            </w:r>
            <w:r w:rsidR="00695F61">
              <w:rPr>
                <w:noProof/>
                <w:webHidden/>
              </w:rPr>
              <w:t>100</w:t>
            </w:r>
            <w:r>
              <w:rPr>
                <w:noProof/>
                <w:webHidden/>
              </w:rPr>
              <w:fldChar w:fldCharType="end"/>
            </w:r>
          </w:hyperlink>
        </w:p>
        <w:p w14:paraId="74EC0C87" w14:textId="16A5D9AE"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93" w:history="1">
            <w:r w:rsidRPr="008E4FA9">
              <w:rPr>
                <w:rStyle w:val="Hipercze"/>
                <w:rFonts w:ascii="Calibri" w:hAnsi="Calibri"/>
                <w:noProof/>
              </w:rPr>
              <w:t>Działanie FELU.03.11 Ochrona bioróżnorodności w ramach Zintegrowanych Inwestycji Terytorialnych Miejskich Obszarów Funkcjonalnych</w:t>
            </w:r>
            <w:r>
              <w:rPr>
                <w:noProof/>
                <w:webHidden/>
              </w:rPr>
              <w:tab/>
            </w:r>
            <w:r>
              <w:rPr>
                <w:noProof/>
                <w:webHidden/>
              </w:rPr>
              <w:fldChar w:fldCharType="begin"/>
            </w:r>
            <w:r>
              <w:rPr>
                <w:noProof/>
                <w:webHidden/>
              </w:rPr>
              <w:instrText xml:space="preserve"> PAGEREF _Toc241668193 \h </w:instrText>
            </w:r>
            <w:r>
              <w:rPr>
                <w:noProof/>
                <w:webHidden/>
              </w:rPr>
            </w:r>
            <w:r>
              <w:rPr>
                <w:noProof/>
                <w:webHidden/>
              </w:rPr>
              <w:fldChar w:fldCharType="separate"/>
            </w:r>
            <w:r w:rsidR="00695F61">
              <w:rPr>
                <w:noProof/>
                <w:webHidden/>
              </w:rPr>
              <w:t>104</w:t>
            </w:r>
            <w:r>
              <w:rPr>
                <w:noProof/>
                <w:webHidden/>
              </w:rPr>
              <w:fldChar w:fldCharType="end"/>
            </w:r>
          </w:hyperlink>
        </w:p>
        <w:p w14:paraId="1EA982DE" w14:textId="5E015316"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94" w:history="1">
            <w:r w:rsidRPr="008E4FA9">
              <w:rPr>
                <w:rStyle w:val="Hipercze"/>
                <w:rFonts w:ascii="Calibri" w:hAnsi="Calibri"/>
                <w:noProof/>
              </w:rPr>
              <w:t>Działanie FELU.03.12 Usuwanie ze środowiska wyrobów zawierających azbest</w:t>
            </w:r>
            <w:r>
              <w:rPr>
                <w:noProof/>
                <w:webHidden/>
              </w:rPr>
              <w:tab/>
            </w:r>
            <w:r>
              <w:rPr>
                <w:noProof/>
                <w:webHidden/>
              </w:rPr>
              <w:fldChar w:fldCharType="begin"/>
            </w:r>
            <w:r>
              <w:rPr>
                <w:noProof/>
                <w:webHidden/>
              </w:rPr>
              <w:instrText xml:space="preserve"> PAGEREF _Toc241668194 \h </w:instrText>
            </w:r>
            <w:r>
              <w:rPr>
                <w:noProof/>
                <w:webHidden/>
              </w:rPr>
            </w:r>
            <w:r>
              <w:rPr>
                <w:noProof/>
                <w:webHidden/>
              </w:rPr>
              <w:fldChar w:fldCharType="separate"/>
            </w:r>
            <w:r w:rsidR="00695F61">
              <w:rPr>
                <w:noProof/>
                <w:webHidden/>
              </w:rPr>
              <w:t>108</w:t>
            </w:r>
            <w:r>
              <w:rPr>
                <w:noProof/>
                <w:webHidden/>
              </w:rPr>
              <w:fldChar w:fldCharType="end"/>
            </w:r>
          </w:hyperlink>
        </w:p>
        <w:p w14:paraId="680E40CF" w14:textId="0CE1CD28"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195" w:history="1">
            <w:r w:rsidRPr="008E4FA9">
              <w:rPr>
                <w:rStyle w:val="Hipercze"/>
                <w:rFonts w:ascii="Calibri" w:hAnsi="Calibri"/>
                <w:noProof/>
              </w:rPr>
              <w:t>Priorytet FELU.04 Efektywne wykorzystanie energii</w:t>
            </w:r>
            <w:r>
              <w:rPr>
                <w:noProof/>
                <w:webHidden/>
              </w:rPr>
              <w:tab/>
            </w:r>
            <w:r>
              <w:rPr>
                <w:noProof/>
                <w:webHidden/>
              </w:rPr>
              <w:fldChar w:fldCharType="begin"/>
            </w:r>
            <w:r>
              <w:rPr>
                <w:noProof/>
                <w:webHidden/>
              </w:rPr>
              <w:instrText xml:space="preserve"> PAGEREF _Toc241668195 \h </w:instrText>
            </w:r>
            <w:r>
              <w:rPr>
                <w:noProof/>
                <w:webHidden/>
              </w:rPr>
            </w:r>
            <w:r>
              <w:rPr>
                <w:noProof/>
                <w:webHidden/>
              </w:rPr>
              <w:fldChar w:fldCharType="separate"/>
            </w:r>
            <w:r w:rsidR="00695F61">
              <w:rPr>
                <w:noProof/>
                <w:webHidden/>
              </w:rPr>
              <w:t>110</w:t>
            </w:r>
            <w:r>
              <w:rPr>
                <w:noProof/>
                <w:webHidden/>
              </w:rPr>
              <w:fldChar w:fldCharType="end"/>
            </w:r>
          </w:hyperlink>
        </w:p>
        <w:p w14:paraId="05D92DF4" w14:textId="7C87B627"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96" w:history="1">
            <w:r w:rsidRPr="008E4FA9">
              <w:rPr>
                <w:rStyle w:val="Hipercze"/>
                <w:rFonts w:ascii="Calibri" w:hAnsi="Calibri"/>
                <w:noProof/>
              </w:rPr>
              <w:t>Działanie FELU.04.01 Wspieranie efektywności energetycznej w budynkach</w:t>
            </w:r>
            <w:r>
              <w:rPr>
                <w:noProof/>
                <w:webHidden/>
              </w:rPr>
              <w:tab/>
            </w:r>
            <w:r>
              <w:rPr>
                <w:noProof/>
                <w:webHidden/>
              </w:rPr>
              <w:fldChar w:fldCharType="begin"/>
            </w:r>
            <w:r>
              <w:rPr>
                <w:noProof/>
                <w:webHidden/>
              </w:rPr>
              <w:instrText xml:space="preserve"> PAGEREF _Toc241668196 \h </w:instrText>
            </w:r>
            <w:r>
              <w:rPr>
                <w:noProof/>
                <w:webHidden/>
              </w:rPr>
            </w:r>
            <w:r>
              <w:rPr>
                <w:noProof/>
                <w:webHidden/>
              </w:rPr>
              <w:fldChar w:fldCharType="separate"/>
            </w:r>
            <w:r w:rsidR="00695F61">
              <w:rPr>
                <w:noProof/>
                <w:webHidden/>
              </w:rPr>
              <w:t>111</w:t>
            </w:r>
            <w:r>
              <w:rPr>
                <w:noProof/>
                <w:webHidden/>
              </w:rPr>
              <w:fldChar w:fldCharType="end"/>
            </w:r>
          </w:hyperlink>
        </w:p>
        <w:p w14:paraId="77C49A91" w14:textId="7EC72E11"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97" w:history="1">
            <w:r w:rsidRPr="008E4FA9">
              <w:rPr>
                <w:rStyle w:val="Hipercze"/>
                <w:rFonts w:ascii="Calibri" w:hAnsi="Calibri"/>
                <w:noProof/>
              </w:rPr>
              <w:t>Działanie FELU.04.02 Wspieranie efektywności energetycznej w sektorze mieszkaniowym</w:t>
            </w:r>
            <w:r>
              <w:rPr>
                <w:noProof/>
                <w:webHidden/>
              </w:rPr>
              <w:tab/>
            </w:r>
            <w:r>
              <w:rPr>
                <w:noProof/>
                <w:webHidden/>
              </w:rPr>
              <w:fldChar w:fldCharType="begin"/>
            </w:r>
            <w:r>
              <w:rPr>
                <w:noProof/>
                <w:webHidden/>
              </w:rPr>
              <w:instrText xml:space="preserve"> PAGEREF _Toc241668197 \h </w:instrText>
            </w:r>
            <w:r>
              <w:rPr>
                <w:noProof/>
                <w:webHidden/>
              </w:rPr>
            </w:r>
            <w:r>
              <w:rPr>
                <w:noProof/>
                <w:webHidden/>
              </w:rPr>
              <w:fldChar w:fldCharType="separate"/>
            </w:r>
            <w:r w:rsidR="00695F61">
              <w:rPr>
                <w:noProof/>
                <w:webHidden/>
              </w:rPr>
              <w:t>117</w:t>
            </w:r>
            <w:r>
              <w:rPr>
                <w:noProof/>
                <w:webHidden/>
              </w:rPr>
              <w:fldChar w:fldCharType="end"/>
            </w:r>
          </w:hyperlink>
        </w:p>
        <w:p w14:paraId="4C6A9DF8" w14:textId="26052A74"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98" w:history="1">
            <w:r w:rsidRPr="008E4FA9">
              <w:rPr>
                <w:rStyle w:val="Hipercze"/>
                <w:rFonts w:ascii="Calibri" w:hAnsi="Calibri"/>
                <w:noProof/>
              </w:rPr>
              <w:t>Działanie FELU.04.03 Wspieranie efektywności energetycznej i energooszczędności w ramach Zintegrowanych Inwestycji Terytorialnych</w:t>
            </w:r>
            <w:r>
              <w:rPr>
                <w:noProof/>
                <w:webHidden/>
              </w:rPr>
              <w:tab/>
            </w:r>
            <w:r>
              <w:rPr>
                <w:noProof/>
                <w:webHidden/>
              </w:rPr>
              <w:fldChar w:fldCharType="begin"/>
            </w:r>
            <w:r>
              <w:rPr>
                <w:noProof/>
                <w:webHidden/>
              </w:rPr>
              <w:instrText xml:space="preserve"> PAGEREF _Toc241668198 \h </w:instrText>
            </w:r>
            <w:r>
              <w:rPr>
                <w:noProof/>
                <w:webHidden/>
              </w:rPr>
            </w:r>
            <w:r>
              <w:rPr>
                <w:noProof/>
                <w:webHidden/>
              </w:rPr>
              <w:fldChar w:fldCharType="separate"/>
            </w:r>
            <w:r w:rsidR="00695F61">
              <w:rPr>
                <w:noProof/>
                <w:webHidden/>
              </w:rPr>
              <w:t>122</w:t>
            </w:r>
            <w:r>
              <w:rPr>
                <w:noProof/>
                <w:webHidden/>
              </w:rPr>
              <w:fldChar w:fldCharType="end"/>
            </w:r>
          </w:hyperlink>
        </w:p>
        <w:p w14:paraId="313AFF26" w14:textId="7202B7B9"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199" w:history="1">
            <w:r w:rsidRPr="008E4FA9">
              <w:rPr>
                <w:rStyle w:val="Hipercze"/>
                <w:rFonts w:ascii="Calibri" w:hAnsi="Calibri"/>
                <w:noProof/>
              </w:rPr>
              <w:t>Działanie FELU.04.04 Wspieranie efektywności energetycznej i energooszczędności w ramach Innych Instrumentów Terytorialnych</w:t>
            </w:r>
            <w:r>
              <w:rPr>
                <w:noProof/>
                <w:webHidden/>
              </w:rPr>
              <w:tab/>
            </w:r>
            <w:r>
              <w:rPr>
                <w:noProof/>
                <w:webHidden/>
              </w:rPr>
              <w:fldChar w:fldCharType="begin"/>
            </w:r>
            <w:r>
              <w:rPr>
                <w:noProof/>
                <w:webHidden/>
              </w:rPr>
              <w:instrText xml:space="preserve"> PAGEREF _Toc241668199 \h </w:instrText>
            </w:r>
            <w:r>
              <w:rPr>
                <w:noProof/>
                <w:webHidden/>
              </w:rPr>
            </w:r>
            <w:r>
              <w:rPr>
                <w:noProof/>
                <w:webHidden/>
              </w:rPr>
              <w:fldChar w:fldCharType="separate"/>
            </w:r>
            <w:r w:rsidR="00695F61">
              <w:rPr>
                <w:noProof/>
                <w:webHidden/>
              </w:rPr>
              <w:t>127</w:t>
            </w:r>
            <w:r>
              <w:rPr>
                <w:noProof/>
                <w:webHidden/>
              </w:rPr>
              <w:fldChar w:fldCharType="end"/>
            </w:r>
          </w:hyperlink>
        </w:p>
        <w:p w14:paraId="3F5B164B" w14:textId="11EB19DC"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00" w:history="1">
            <w:r w:rsidRPr="008E4FA9">
              <w:rPr>
                <w:rStyle w:val="Hipercze"/>
                <w:rFonts w:ascii="Calibri" w:hAnsi="Calibri"/>
                <w:noProof/>
              </w:rPr>
              <w:t>Działanie FELU.04.05 Wspieranie energooszczędności</w:t>
            </w:r>
            <w:r>
              <w:rPr>
                <w:noProof/>
                <w:webHidden/>
              </w:rPr>
              <w:tab/>
            </w:r>
            <w:r>
              <w:rPr>
                <w:noProof/>
                <w:webHidden/>
              </w:rPr>
              <w:fldChar w:fldCharType="begin"/>
            </w:r>
            <w:r>
              <w:rPr>
                <w:noProof/>
                <w:webHidden/>
              </w:rPr>
              <w:instrText xml:space="preserve"> PAGEREF _Toc241668200 \h </w:instrText>
            </w:r>
            <w:r>
              <w:rPr>
                <w:noProof/>
                <w:webHidden/>
              </w:rPr>
            </w:r>
            <w:r>
              <w:rPr>
                <w:noProof/>
                <w:webHidden/>
              </w:rPr>
              <w:fldChar w:fldCharType="separate"/>
            </w:r>
            <w:r w:rsidR="00695F61">
              <w:rPr>
                <w:noProof/>
                <w:webHidden/>
              </w:rPr>
              <w:t>133</w:t>
            </w:r>
            <w:r>
              <w:rPr>
                <w:noProof/>
                <w:webHidden/>
              </w:rPr>
              <w:fldChar w:fldCharType="end"/>
            </w:r>
          </w:hyperlink>
        </w:p>
        <w:p w14:paraId="24730BA5" w14:textId="0B96E0F0"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01" w:history="1">
            <w:r w:rsidRPr="008E4FA9">
              <w:rPr>
                <w:rStyle w:val="Hipercze"/>
                <w:rFonts w:ascii="Calibri" w:hAnsi="Calibri"/>
                <w:noProof/>
              </w:rPr>
              <w:t>Działanie FELU.04.06 Efektywne energetycznie przedsiębiorstwa</w:t>
            </w:r>
            <w:r>
              <w:rPr>
                <w:noProof/>
                <w:webHidden/>
              </w:rPr>
              <w:tab/>
            </w:r>
            <w:r>
              <w:rPr>
                <w:noProof/>
                <w:webHidden/>
              </w:rPr>
              <w:fldChar w:fldCharType="begin"/>
            </w:r>
            <w:r>
              <w:rPr>
                <w:noProof/>
                <w:webHidden/>
              </w:rPr>
              <w:instrText xml:space="preserve"> PAGEREF _Toc241668201 \h </w:instrText>
            </w:r>
            <w:r>
              <w:rPr>
                <w:noProof/>
                <w:webHidden/>
              </w:rPr>
            </w:r>
            <w:r>
              <w:rPr>
                <w:noProof/>
                <w:webHidden/>
              </w:rPr>
              <w:fldChar w:fldCharType="separate"/>
            </w:r>
            <w:r w:rsidR="00695F61">
              <w:rPr>
                <w:noProof/>
                <w:webHidden/>
              </w:rPr>
              <w:t>137</w:t>
            </w:r>
            <w:r>
              <w:rPr>
                <w:noProof/>
                <w:webHidden/>
              </w:rPr>
              <w:fldChar w:fldCharType="end"/>
            </w:r>
          </w:hyperlink>
        </w:p>
        <w:p w14:paraId="6C928EF5" w14:textId="52BABADA"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02" w:history="1">
            <w:r w:rsidRPr="008E4FA9">
              <w:rPr>
                <w:rStyle w:val="Hipercze"/>
                <w:rFonts w:ascii="Calibri" w:hAnsi="Calibri"/>
                <w:noProof/>
              </w:rPr>
              <w:t>Działanie FELU.04.07 Zwiększenie wykorzystania Odnawialnych Źródeł Energii</w:t>
            </w:r>
            <w:r>
              <w:rPr>
                <w:noProof/>
                <w:webHidden/>
              </w:rPr>
              <w:tab/>
            </w:r>
            <w:r>
              <w:rPr>
                <w:noProof/>
                <w:webHidden/>
              </w:rPr>
              <w:fldChar w:fldCharType="begin"/>
            </w:r>
            <w:r>
              <w:rPr>
                <w:noProof/>
                <w:webHidden/>
              </w:rPr>
              <w:instrText xml:space="preserve"> PAGEREF _Toc241668202 \h </w:instrText>
            </w:r>
            <w:r>
              <w:rPr>
                <w:noProof/>
                <w:webHidden/>
              </w:rPr>
            </w:r>
            <w:r>
              <w:rPr>
                <w:noProof/>
                <w:webHidden/>
              </w:rPr>
              <w:fldChar w:fldCharType="separate"/>
            </w:r>
            <w:r w:rsidR="00695F61">
              <w:rPr>
                <w:noProof/>
                <w:webHidden/>
              </w:rPr>
              <w:t>141</w:t>
            </w:r>
            <w:r>
              <w:rPr>
                <w:noProof/>
                <w:webHidden/>
              </w:rPr>
              <w:fldChar w:fldCharType="end"/>
            </w:r>
          </w:hyperlink>
        </w:p>
        <w:p w14:paraId="4D833AEC" w14:textId="54968B2C"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03" w:history="1">
            <w:r w:rsidRPr="008E4FA9">
              <w:rPr>
                <w:rStyle w:val="Hipercze"/>
                <w:rFonts w:ascii="Calibri" w:hAnsi="Calibri"/>
                <w:noProof/>
              </w:rPr>
              <w:t>Działanie FELU.04.08 Zwiększenie wykorzystania Odnawialnych Źródeł Energii w ramach Zintegrowanych Inwestycji Terytorialnych – działanie usunięte</w:t>
            </w:r>
            <w:r>
              <w:rPr>
                <w:noProof/>
                <w:webHidden/>
              </w:rPr>
              <w:tab/>
            </w:r>
            <w:r>
              <w:rPr>
                <w:noProof/>
                <w:webHidden/>
              </w:rPr>
              <w:fldChar w:fldCharType="begin"/>
            </w:r>
            <w:r>
              <w:rPr>
                <w:noProof/>
                <w:webHidden/>
              </w:rPr>
              <w:instrText xml:space="preserve"> PAGEREF _Toc241668203 \h </w:instrText>
            </w:r>
            <w:r>
              <w:rPr>
                <w:noProof/>
                <w:webHidden/>
              </w:rPr>
            </w:r>
            <w:r>
              <w:rPr>
                <w:noProof/>
                <w:webHidden/>
              </w:rPr>
              <w:fldChar w:fldCharType="separate"/>
            </w:r>
            <w:r w:rsidR="00695F61">
              <w:rPr>
                <w:noProof/>
                <w:webHidden/>
              </w:rPr>
              <w:t>146</w:t>
            </w:r>
            <w:r>
              <w:rPr>
                <w:noProof/>
                <w:webHidden/>
              </w:rPr>
              <w:fldChar w:fldCharType="end"/>
            </w:r>
          </w:hyperlink>
        </w:p>
        <w:p w14:paraId="3E785B8E" w14:textId="166790C0"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04" w:history="1">
            <w:r w:rsidRPr="008E4FA9">
              <w:rPr>
                <w:rStyle w:val="Hipercze"/>
                <w:rFonts w:ascii="Calibri" w:hAnsi="Calibri"/>
                <w:noProof/>
              </w:rPr>
              <w:t>Działanie FELU.04.09 Zwiększenie wykorzystania Odnawialnych Źródeł Energii w ramach Innych Instrumentów Terytorialnych – działanie usunięte</w:t>
            </w:r>
            <w:r>
              <w:rPr>
                <w:noProof/>
                <w:webHidden/>
              </w:rPr>
              <w:tab/>
            </w:r>
            <w:r>
              <w:rPr>
                <w:noProof/>
                <w:webHidden/>
              </w:rPr>
              <w:fldChar w:fldCharType="begin"/>
            </w:r>
            <w:r>
              <w:rPr>
                <w:noProof/>
                <w:webHidden/>
              </w:rPr>
              <w:instrText xml:space="preserve"> PAGEREF _Toc241668204 \h </w:instrText>
            </w:r>
            <w:r>
              <w:rPr>
                <w:noProof/>
                <w:webHidden/>
              </w:rPr>
            </w:r>
            <w:r>
              <w:rPr>
                <w:noProof/>
                <w:webHidden/>
              </w:rPr>
              <w:fldChar w:fldCharType="separate"/>
            </w:r>
            <w:r w:rsidR="00695F61">
              <w:rPr>
                <w:noProof/>
                <w:webHidden/>
              </w:rPr>
              <w:t>148</w:t>
            </w:r>
            <w:r>
              <w:rPr>
                <w:noProof/>
                <w:webHidden/>
              </w:rPr>
              <w:fldChar w:fldCharType="end"/>
            </w:r>
          </w:hyperlink>
        </w:p>
        <w:p w14:paraId="2A5D3F0A" w14:textId="215CFDF9"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05" w:history="1">
            <w:r w:rsidRPr="008E4FA9">
              <w:rPr>
                <w:rStyle w:val="Hipercze"/>
                <w:rFonts w:ascii="Calibri" w:hAnsi="Calibri"/>
                <w:noProof/>
              </w:rPr>
              <w:t>Działanie FELU.04.10 Wykorzystanie OZE w gospodarce</w:t>
            </w:r>
            <w:r>
              <w:rPr>
                <w:noProof/>
                <w:webHidden/>
              </w:rPr>
              <w:tab/>
            </w:r>
            <w:r>
              <w:rPr>
                <w:noProof/>
                <w:webHidden/>
              </w:rPr>
              <w:fldChar w:fldCharType="begin"/>
            </w:r>
            <w:r>
              <w:rPr>
                <w:noProof/>
                <w:webHidden/>
              </w:rPr>
              <w:instrText xml:space="preserve"> PAGEREF _Toc241668205 \h </w:instrText>
            </w:r>
            <w:r>
              <w:rPr>
                <w:noProof/>
                <w:webHidden/>
              </w:rPr>
            </w:r>
            <w:r>
              <w:rPr>
                <w:noProof/>
                <w:webHidden/>
              </w:rPr>
              <w:fldChar w:fldCharType="separate"/>
            </w:r>
            <w:r w:rsidR="00695F61">
              <w:rPr>
                <w:noProof/>
                <w:webHidden/>
              </w:rPr>
              <w:t>151</w:t>
            </w:r>
            <w:r>
              <w:rPr>
                <w:noProof/>
                <w:webHidden/>
              </w:rPr>
              <w:fldChar w:fldCharType="end"/>
            </w:r>
          </w:hyperlink>
        </w:p>
        <w:p w14:paraId="56481E0D" w14:textId="0645AB3B"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06" w:history="1">
            <w:r w:rsidRPr="008E4FA9">
              <w:rPr>
                <w:rStyle w:val="Hipercze"/>
                <w:rFonts w:ascii="Calibri" w:hAnsi="Calibri"/>
                <w:noProof/>
              </w:rPr>
              <w:t>Priorytet FELU.05 Zrównoważona mobilność miejska</w:t>
            </w:r>
            <w:r>
              <w:rPr>
                <w:noProof/>
                <w:webHidden/>
              </w:rPr>
              <w:tab/>
            </w:r>
            <w:r>
              <w:rPr>
                <w:noProof/>
                <w:webHidden/>
              </w:rPr>
              <w:fldChar w:fldCharType="begin"/>
            </w:r>
            <w:r>
              <w:rPr>
                <w:noProof/>
                <w:webHidden/>
              </w:rPr>
              <w:instrText xml:space="preserve"> PAGEREF _Toc241668206 \h </w:instrText>
            </w:r>
            <w:r>
              <w:rPr>
                <w:noProof/>
                <w:webHidden/>
              </w:rPr>
            </w:r>
            <w:r>
              <w:rPr>
                <w:noProof/>
                <w:webHidden/>
              </w:rPr>
              <w:fldChar w:fldCharType="separate"/>
            </w:r>
            <w:r w:rsidR="00695F61">
              <w:rPr>
                <w:noProof/>
                <w:webHidden/>
              </w:rPr>
              <w:t>155</w:t>
            </w:r>
            <w:r>
              <w:rPr>
                <w:noProof/>
                <w:webHidden/>
              </w:rPr>
              <w:fldChar w:fldCharType="end"/>
            </w:r>
          </w:hyperlink>
        </w:p>
        <w:p w14:paraId="27B5B423" w14:textId="1557427C"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07" w:history="1">
            <w:r w:rsidRPr="008E4FA9">
              <w:rPr>
                <w:rStyle w:val="Hipercze"/>
                <w:rFonts w:ascii="Calibri" w:hAnsi="Calibri"/>
                <w:noProof/>
              </w:rPr>
              <w:t>Działanie FELU.05.01 Niskoemisyjny transport miejski</w:t>
            </w:r>
            <w:r>
              <w:rPr>
                <w:noProof/>
                <w:webHidden/>
              </w:rPr>
              <w:tab/>
            </w:r>
            <w:r>
              <w:rPr>
                <w:noProof/>
                <w:webHidden/>
              </w:rPr>
              <w:fldChar w:fldCharType="begin"/>
            </w:r>
            <w:r>
              <w:rPr>
                <w:noProof/>
                <w:webHidden/>
              </w:rPr>
              <w:instrText xml:space="preserve"> PAGEREF _Toc241668207 \h </w:instrText>
            </w:r>
            <w:r>
              <w:rPr>
                <w:noProof/>
                <w:webHidden/>
              </w:rPr>
            </w:r>
            <w:r>
              <w:rPr>
                <w:noProof/>
                <w:webHidden/>
              </w:rPr>
              <w:fldChar w:fldCharType="separate"/>
            </w:r>
            <w:r w:rsidR="00695F61">
              <w:rPr>
                <w:noProof/>
                <w:webHidden/>
              </w:rPr>
              <w:t>156</w:t>
            </w:r>
            <w:r>
              <w:rPr>
                <w:noProof/>
                <w:webHidden/>
              </w:rPr>
              <w:fldChar w:fldCharType="end"/>
            </w:r>
          </w:hyperlink>
        </w:p>
        <w:p w14:paraId="00CC6D46" w14:textId="0528C354"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08" w:history="1">
            <w:r w:rsidRPr="008E4FA9">
              <w:rPr>
                <w:rStyle w:val="Hipercze"/>
                <w:rFonts w:ascii="Calibri" w:hAnsi="Calibri"/>
                <w:noProof/>
              </w:rPr>
              <w:t>Działanie FELU.05.02 Niskoemisyjny transport miejski w ramach Zintegrowanych Inwestycji Terytorialnych</w:t>
            </w:r>
            <w:r>
              <w:rPr>
                <w:noProof/>
                <w:webHidden/>
              </w:rPr>
              <w:tab/>
            </w:r>
            <w:r>
              <w:rPr>
                <w:noProof/>
                <w:webHidden/>
              </w:rPr>
              <w:fldChar w:fldCharType="begin"/>
            </w:r>
            <w:r>
              <w:rPr>
                <w:noProof/>
                <w:webHidden/>
              </w:rPr>
              <w:instrText xml:space="preserve"> PAGEREF _Toc241668208 \h </w:instrText>
            </w:r>
            <w:r>
              <w:rPr>
                <w:noProof/>
                <w:webHidden/>
              </w:rPr>
            </w:r>
            <w:r>
              <w:rPr>
                <w:noProof/>
                <w:webHidden/>
              </w:rPr>
              <w:fldChar w:fldCharType="separate"/>
            </w:r>
            <w:r w:rsidR="00695F61">
              <w:rPr>
                <w:noProof/>
                <w:webHidden/>
              </w:rPr>
              <w:t>161</w:t>
            </w:r>
            <w:r>
              <w:rPr>
                <w:noProof/>
                <w:webHidden/>
              </w:rPr>
              <w:fldChar w:fldCharType="end"/>
            </w:r>
          </w:hyperlink>
        </w:p>
        <w:p w14:paraId="3D88BFA4" w14:textId="58D4038D"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09" w:history="1">
            <w:r w:rsidRPr="008E4FA9">
              <w:rPr>
                <w:rStyle w:val="Hipercze"/>
                <w:rFonts w:ascii="Calibri" w:hAnsi="Calibri"/>
                <w:noProof/>
              </w:rPr>
              <w:t>Działanie FELU.05.03 Wspieranie strategii niskoemisyjnych</w:t>
            </w:r>
            <w:r>
              <w:rPr>
                <w:noProof/>
                <w:webHidden/>
              </w:rPr>
              <w:tab/>
            </w:r>
            <w:r>
              <w:rPr>
                <w:noProof/>
                <w:webHidden/>
              </w:rPr>
              <w:fldChar w:fldCharType="begin"/>
            </w:r>
            <w:r>
              <w:rPr>
                <w:noProof/>
                <w:webHidden/>
              </w:rPr>
              <w:instrText xml:space="preserve"> PAGEREF _Toc241668209 \h </w:instrText>
            </w:r>
            <w:r>
              <w:rPr>
                <w:noProof/>
                <w:webHidden/>
              </w:rPr>
            </w:r>
            <w:r>
              <w:rPr>
                <w:noProof/>
                <w:webHidden/>
              </w:rPr>
              <w:fldChar w:fldCharType="separate"/>
            </w:r>
            <w:r w:rsidR="00695F61">
              <w:rPr>
                <w:noProof/>
                <w:webHidden/>
              </w:rPr>
              <w:t>166</w:t>
            </w:r>
            <w:r>
              <w:rPr>
                <w:noProof/>
                <w:webHidden/>
              </w:rPr>
              <w:fldChar w:fldCharType="end"/>
            </w:r>
          </w:hyperlink>
        </w:p>
        <w:p w14:paraId="422CCCAC" w14:textId="079DF037"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10" w:history="1">
            <w:r w:rsidRPr="008E4FA9">
              <w:rPr>
                <w:rStyle w:val="Hipercze"/>
                <w:rFonts w:ascii="Calibri" w:hAnsi="Calibri"/>
                <w:noProof/>
              </w:rPr>
              <w:t>Priorytet FELU.06 Zrównoważony system transportu</w:t>
            </w:r>
            <w:r>
              <w:rPr>
                <w:noProof/>
                <w:webHidden/>
              </w:rPr>
              <w:tab/>
            </w:r>
            <w:r>
              <w:rPr>
                <w:noProof/>
                <w:webHidden/>
              </w:rPr>
              <w:fldChar w:fldCharType="begin"/>
            </w:r>
            <w:r>
              <w:rPr>
                <w:noProof/>
                <w:webHidden/>
              </w:rPr>
              <w:instrText xml:space="preserve"> PAGEREF _Toc241668210 \h </w:instrText>
            </w:r>
            <w:r>
              <w:rPr>
                <w:noProof/>
                <w:webHidden/>
              </w:rPr>
            </w:r>
            <w:r>
              <w:rPr>
                <w:noProof/>
                <w:webHidden/>
              </w:rPr>
              <w:fldChar w:fldCharType="separate"/>
            </w:r>
            <w:r w:rsidR="00695F61">
              <w:rPr>
                <w:noProof/>
                <w:webHidden/>
              </w:rPr>
              <w:t>169</w:t>
            </w:r>
            <w:r>
              <w:rPr>
                <w:noProof/>
                <w:webHidden/>
              </w:rPr>
              <w:fldChar w:fldCharType="end"/>
            </w:r>
          </w:hyperlink>
        </w:p>
        <w:p w14:paraId="4BB4BC79" w14:textId="330A732B"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11" w:history="1">
            <w:r w:rsidRPr="008E4FA9">
              <w:rPr>
                <w:rStyle w:val="Hipercze"/>
                <w:rFonts w:ascii="Calibri" w:hAnsi="Calibri"/>
                <w:noProof/>
              </w:rPr>
              <w:t>Działanie FELU.06.01 Poprawa regionalnej dostępności transportowej</w:t>
            </w:r>
            <w:r>
              <w:rPr>
                <w:noProof/>
                <w:webHidden/>
              </w:rPr>
              <w:tab/>
            </w:r>
            <w:r>
              <w:rPr>
                <w:noProof/>
                <w:webHidden/>
              </w:rPr>
              <w:fldChar w:fldCharType="begin"/>
            </w:r>
            <w:r>
              <w:rPr>
                <w:noProof/>
                <w:webHidden/>
              </w:rPr>
              <w:instrText xml:space="preserve"> PAGEREF _Toc241668211 \h </w:instrText>
            </w:r>
            <w:r>
              <w:rPr>
                <w:noProof/>
                <w:webHidden/>
              </w:rPr>
            </w:r>
            <w:r>
              <w:rPr>
                <w:noProof/>
                <w:webHidden/>
              </w:rPr>
              <w:fldChar w:fldCharType="separate"/>
            </w:r>
            <w:r w:rsidR="00695F61">
              <w:rPr>
                <w:noProof/>
                <w:webHidden/>
              </w:rPr>
              <w:t>169</w:t>
            </w:r>
            <w:r>
              <w:rPr>
                <w:noProof/>
                <w:webHidden/>
              </w:rPr>
              <w:fldChar w:fldCharType="end"/>
            </w:r>
          </w:hyperlink>
        </w:p>
        <w:p w14:paraId="6FAF4D90" w14:textId="6367012B"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12" w:history="1">
            <w:r w:rsidRPr="008E4FA9">
              <w:rPr>
                <w:rStyle w:val="Hipercze"/>
                <w:rFonts w:ascii="Calibri" w:hAnsi="Calibri"/>
                <w:noProof/>
              </w:rPr>
              <w:t>Działanie FELU.06.02 Kolejowy transport zbiorowy</w:t>
            </w:r>
            <w:r>
              <w:rPr>
                <w:noProof/>
                <w:webHidden/>
              </w:rPr>
              <w:tab/>
            </w:r>
            <w:r>
              <w:rPr>
                <w:noProof/>
                <w:webHidden/>
              </w:rPr>
              <w:fldChar w:fldCharType="begin"/>
            </w:r>
            <w:r>
              <w:rPr>
                <w:noProof/>
                <w:webHidden/>
              </w:rPr>
              <w:instrText xml:space="preserve"> PAGEREF _Toc241668212 \h </w:instrText>
            </w:r>
            <w:r>
              <w:rPr>
                <w:noProof/>
                <w:webHidden/>
              </w:rPr>
            </w:r>
            <w:r>
              <w:rPr>
                <w:noProof/>
                <w:webHidden/>
              </w:rPr>
              <w:fldChar w:fldCharType="separate"/>
            </w:r>
            <w:r w:rsidR="00695F61">
              <w:rPr>
                <w:noProof/>
                <w:webHidden/>
              </w:rPr>
              <w:t>173</w:t>
            </w:r>
            <w:r>
              <w:rPr>
                <w:noProof/>
                <w:webHidden/>
              </w:rPr>
              <w:fldChar w:fldCharType="end"/>
            </w:r>
          </w:hyperlink>
        </w:p>
        <w:p w14:paraId="333F84D3" w14:textId="2965F46C"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13" w:history="1">
            <w:r w:rsidRPr="008E4FA9">
              <w:rPr>
                <w:rStyle w:val="Hipercze"/>
                <w:rFonts w:ascii="Calibri" w:hAnsi="Calibri"/>
                <w:noProof/>
              </w:rPr>
              <w:t>Działanie FELU.06.03 Publiczny autobusowy transport zbiorowy</w:t>
            </w:r>
            <w:r>
              <w:rPr>
                <w:noProof/>
                <w:webHidden/>
              </w:rPr>
              <w:tab/>
            </w:r>
            <w:r>
              <w:rPr>
                <w:noProof/>
                <w:webHidden/>
              </w:rPr>
              <w:fldChar w:fldCharType="begin"/>
            </w:r>
            <w:r>
              <w:rPr>
                <w:noProof/>
                <w:webHidden/>
              </w:rPr>
              <w:instrText xml:space="preserve"> PAGEREF _Toc241668213 \h </w:instrText>
            </w:r>
            <w:r>
              <w:rPr>
                <w:noProof/>
                <w:webHidden/>
              </w:rPr>
            </w:r>
            <w:r>
              <w:rPr>
                <w:noProof/>
                <w:webHidden/>
              </w:rPr>
              <w:fldChar w:fldCharType="separate"/>
            </w:r>
            <w:r w:rsidR="00695F61">
              <w:rPr>
                <w:noProof/>
                <w:webHidden/>
              </w:rPr>
              <w:t>176</w:t>
            </w:r>
            <w:r>
              <w:rPr>
                <w:noProof/>
                <w:webHidden/>
              </w:rPr>
              <w:fldChar w:fldCharType="end"/>
            </w:r>
          </w:hyperlink>
        </w:p>
        <w:p w14:paraId="26D761B4" w14:textId="14650320"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14" w:history="1">
            <w:r w:rsidRPr="008E4FA9">
              <w:rPr>
                <w:rStyle w:val="Hipercze"/>
                <w:rFonts w:ascii="Calibri" w:hAnsi="Calibri"/>
                <w:noProof/>
              </w:rPr>
              <w:t>Priorytet FELU.07 Lepsza dostępność do usług społecznych i zdrowotnych</w:t>
            </w:r>
            <w:r>
              <w:rPr>
                <w:noProof/>
                <w:webHidden/>
              </w:rPr>
              <w:tab/>
            </w:r>
            <w:r>
              <w:rPr>
                <w:noProof/>
                <w:webHidden/>
              </w:rPr>
              <w:fldChar w:fldCharType="begin"/>
            </w:r>
            <w:r>
              <w:rPr>
                <w:noProof/>
                <w:webHidden/>
              </w:rPr>
              <w:instrText xml:space="preserve"> PAGEREF _Toc241668214 \h </w:instrText>
            </w:r>
            <w:r>
              <w:rPr>
                <w:noProof/>
                <w:webHidden/>
              </w:rPr>
            </w:r>
            <w:r>
              <w:rPr>
                <w:noProof/>
                <w:webHidden/>
              </w:rPr>
              <w:fldChar w:fldCharType="separate"/>
            </w:r>
            <w:r w:rsidR="00695F61">
              <w:rPr>
                <w:noProof/>
                <w:webHidden/>
              </w:rPr>
              <w:t>180</w:t>
            </w:r>
            <w:r>
              <w:rPr>
                <w:noProof/>
                <w:webHidden/>
              </w:rPr>
              <w:fldChar w:fldCharType="end"/>
            </w:r>
          </w:hyperlink>
        </w:p>
        <w:p w14:paraId="2FCC0212" w14:textId="5CEBD3B1"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15" w:history="1">
            <w:r w:rsidRPr="008E4FA9">
              <w:rPr>
                <w:rStyle w:val="Hipercze"/>
                <w:rFonts w:ascii="Calibri" w:hAnsi="Calibri"/>
                <w:noProof/>
              </w:rPr>
              <w:t>Działanie FELU.07.01 Infrastruktura przedszkolna</w:t>
            </w:r>
            <w:r>
              <w:rPr>
                <w:noProof/>
                <w:webHidden/>
              </w:rPr>
              <w:tab/>
            </w:r>
            <w:r>
              <w:rPr>
                <w:noProof/>
                <w:webHidden/>
              </w:rPr>
              <w:fldChar w:fldCharType="begin"/>
            </w:r>
            <w:r>
              <w:rPr>
                <w:noProof/>
                <w:webHidden/>
              </w:rPr>
              <w:instrText xml:space="preserve"> PAGEREF _Toc241668215 \h </w:instrText>
            </w:r>
            <w:r>
              <w:rPr>
                <w:noProof/>
                <w:webHidden/>
              </w:rPr>
            </w:r>
            <w:r>
              <w:rPr>
                <w:noProof/>
                <w:webHidden/>
              </w:rPr>
              <w:fldChar w:fldCharType="separate"/>
            </w:r>
            <w:r w:rsidR="00695F61">
              <w:rPr>
                <w:noProof/>
                <w:webHidden/>
              </w:rPr>
              <w:t>181</w:t>
            </w:r>
            <w:r>
              <w:rPr>
                <w:noProof/>
                <w:webHidden/>
              </w:rPr>
              <w:fldChar w:fldCharType="end"/>
            </w:r>
          </w:hyperlink>
        </w:p>
        <w:p w14:paraId="4078318C" w14:textId="52330357"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16" w:history="1">
            <w:r w:rsidRPr="008E4FA9">
              <w:rPr>
                <w:rStyle w:val="Hipercze"/>
                <w:rFonts w:ascii="Calibri" w:hAnsi="Calibri"/>
                <w:noProof/>
              </w:rPr>
              <w:t>Działanie FELU.07.02 Infrastruktura edukacji ogólnej</w:t>
            </w:r>
            <w:r>
              <w:rPr>
                <w:noProof/>
                <w:webHidden/>
              </w:rPr>
              <w:tab/>
            </w:r>
            <w:r>
              <w:rPr>
                <w:noProof/>
                <w:webHidden/>
              </w:rPr>
              <w:fldChar w:fldCharType="begin"/>
            </w:r>
            <w:r>
              <w:rPr>
                <w:noProof/>
                <w:webHidden/>
              </w:rPr>
              <w:instrText xml:space="preserve"> PAGEREF _Toc241668216 \h </w:instrText>
            </w:r>
            <w:r>
              <w:rPr>
                <w:noProof/>
                <w:webHidden/>
              </w:rPr>
            </w:r>
            <w:r>
              <w:rPr>
                <w:noProof/>
                <w:webHidden/>
              </w:rPr>
              <w:fldChar w:fldCharType="separate"/>
            </w:r>
            <w:r w:rsidR="00695F61">
              <w:rPr>
                <w:noProof/>
                <w:webHidden/>
              </w:rPr>
              <w:t>185</w:t>
            </w:r>
            <w:r>
              <w:rPr>
                <w:noProof/>
                <w:webHidden/>
              </w:rPr>
              <w:fldChar w:fldCharType="end"/>
            </w:r>
          </w:hyperlink>
        </w:p>
        <w:p w14:paraId="5E11ACDC" w14:textId="3DB4DF7B"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17" w:history="1">
            <w:r w:rsidRPr="008E4FA9">
              <w:rPr>
                <w:rStyle w:val="Hipercze"/>
                <w:rFonts w:ascii="Calibri" w:hAnsi="Calibri"/>
                <w:noProof/>
              </w:rPr>
              <w:t>Działanie FELU.07.03 Infrastruktura kształcenia zawodowego i ustawicznego</w:t>
            </w:r>
            <w:r>
              <w:rPr>
                <w:noProof/>
                <w:webHidden/>
              </w:rPr>
              <w:tab/>
            </w:r>
            <w:r>
              <w:rPr>
                <w:noProof/>
                <w:webHidden/>
              </w:rPr>
              <w:fldChar w:fldCharType="begin"/>
            </w:r>
            <w:r>
              <w:rPr>
                <w:noProof/>
                <w:webHidden/>
              </w:rPr>
              <w:instrText xml:space="preserve"> PAGEREF _Toc241668217 \h </w:instrText>
            </w:r>
            <w:r>
              <w:rPr>
                <w:noProof/>
                <w:webHidden/>
              </w:rPr>
            </w:r>
            <w:r>
              <w:rPr>
                <w:noProof/>
                <w:webHidden/>
              </w:rPr>
              <w:fldChar w:fldCharType="separate"/>
            </w:r>
            <w:r w:rsidR="00695F61">
              <w:rPr>
                <w:noProof/>
                <w:webHidden/>
              </w:rPr>
              <w:t>188</w:t>
            </w:r>
            <w:r>
              <w:rPr>
                <w:noProof/>
                <w:webHidden/>
              </w:rPr>
              <w:fldChar w:fldCharType="end"/>
            </w:r>
          </w:hyperlink>
        </w:p>
        <w:p w14:paraId="67216E6D" w14:textId="753637F9"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18" w:history="1">
            <w:r w:rsidRPr="008E4FA9">
              <w:rPr>
                <w:rStyle w:val="Hipercze"/>
                <w:rFonts w:ascii="Calibri" w:hAnsi="Calibri"/>
                <w:noProof/>
              </w:rPr>
              <w:t>Działanie FELU.07.04 Infrastruktura szkół wyższych</w:t>
            </w:r>
            <w:r>
              <w:rPr>
                <w:noProof/>
                <w:webHidden/>
              </w:rPr>
              <w:tab/>
            </w:r>
            <w:r>
              <w:rPr>
                <w:noProof/>
                <w:webHidden/>
              </w:rPr>
              <w:fldChar w:fldCharType="begin"/>
            </w:r>
            <w:r>
              <w:rPr>
                <w:noProof/>
                <w:webHidden/>
              </w:rPr>
              <w:instrText xml:space="preserve"> PAGEREF _Toc241668218 \h </w:instrText>
            </w:r>
            <w:r>
              <w:rPr>
                <w:noProof/>
                <w:webHidden/>
              </w:rPr>
            </w:r>
            <w:r>
              <w:rPr>
                <w:noProof/>
                <w:webHidden/>
              </w:rPr>
              <w:fldChar w:fldCharType="separate"/>
            </w:r>
            <w:r w:rsidR="00695F61">
              <w:rPr>
                <w:noProof/>
                <w:webHidden/>
              </w:rPr>
              <w:t>192</w:t>
            </w:r>
            <w:r>
              <w:rPr>
                <w:noProof/>
                <w:webHidden/>
              </w:rPr>
              <w:fldChar w:fldCharType="end"/>
            </w:r>
          </w:hyperlink>
        </w:p>
        <w:p w14:paraId="08964B21" w14:textId="085A4819"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19" w:history="1">
            <w:r w:rsidRPr="008E4FA9">
              <w:rPr>
                <w:rStyle w:val="Hipercze"/>
                <w:rFonts w:ascii="Calibri" w:hAnsi="Calibri"/>
                <w:noProof/>
              </w:rPr>
              <w:t>Działanie FELU.07.05 Infrastruktura edukacyjna w ramach Zintegrowanych Inwestycji Terytorialnych</w:t>
            </w:r>
            <w:r>
              <w:rPr>
                <w:noProof/>
                <w:webHidden/>
              </w:rPr>
              <w:tab/>
            </w:r>
            <w:r>
              <w:rPr>
                <w:noProof/>
                <w:webHidden/>
              </w:rPr>
              <w:fldChar w:fldCharType="begin"/>
            </w:r>
            <w:r>
              <w:rPr>
                <w:noProof/>
                <w:webHidden/>
              </w:rPr>
              <w:instrText xml:space="preserve"> PAGEREF _Toc241668219 \h </w:instrText>
            </w:r>
            <w:r>
              <w:rPr>
                <w:noProof/>
                <w:webHidden/>
              </w:rPr>
            </w:r>
            <w:r>
              <w:rPr>
                <w:noProof/>
                <w:webHidden/>
              </w:rPr>
              <w:fldChar w:fldCharType="separate"/>
            </w:r>
            <w:r w:rsidR="00695F61">
              <w:rPr>
                <w:noProof/>
                <w:webHidden/>
              </w:rPr>
              <w:t>196</w:t>
            </w:r>
            <w:r>
              <w:rPr>
                <w:noProof/>
                <w:webHidden/>
              </w:rPr>
              <w:fldChar w:fldCharType="end"/>
            </w:r>
          </w:hyperlink>
        </w:p>
        <w:p w14:paraId="08CCEA50" w14:textId="4F430F6C"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20" w:history="1">
            <w:r w:rsidRPr="008E4FA9">
              <w:rPr>
                <w:rStyle w:val="Hipercze"/>
                <w:rFonts w:ascii="Calibri" w:hAnsi="Calibri"/>
                <w:noProof/>
              </w:rPr>
              <w:t>Działanie FELU.07.06 Infrastruktura usług i integracji społecznej</w:t>
            </w:r>
            <w:r>
              <w:rPr>
                <w:noProof/>
                <w:webHidden/>
              </w:rPr>
              <w:tab/>
            </w:r>
            <w:r>
              <w:rPr>
                <w:noProof/>
                <w:webHidden/>
              </w:rPr>
              <w:fldChar w:fldCharType="begin"/>
            </w:r>
            <w:r>
              <w:rPr>
                <w:noProof/>
                <w:webHidden/>
              </w:rPr>
              <w:instrText xml:space="preserve"> PAGEREF _Toc241668220 \h </w:instrText>
            </w:r>
            <w:r>
              <w:rPr>
                <w:noProof/>
                <w:webHidden/>
              </w:rPr>
            </w:r>
            <w:r>
              <w:rPr>
                <w:noProof/>
                <w:webHidden/>
              </w:rPr>
              <w:fldChar w:fldCharType="separate"/>
            </w:r>
            <w:r w:rsidR="00695F61">
              <w:rPr>
                <w:noProof/>
                <w:webHidden/>
              </w:rPr>
              <w:t>201</w:t>
            </w:r>
            <w:r>
              <w:rPr>
                <w:noProof/>
                <w:webHidden/>
              </w:rPr>
              <w:fldChar w:fldCharType="end"/>
            </w:r>
          </w:hyperlink>
        </w:p>
        <w:p w14:paraId="3845B0D1" w14:textId="339A4BD7"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21" w:history="1">
            <w:r w:rsidRPr="008E4FA9">
              <w:rPr>
                <w:rStyle w:val="Hipercze"/>
                <w:rFonts w:ascii="Calibri" w:hAnsi="Calibri"/>
                <w:noProof/>
              </w:rPr>
              <w:t>Działanie FELU.07.07 Infrastruktura usług i integracji społecznej w ramach Zintegrowanych Inwestycji Terytorialnych</w:t>
            </w:r>
            <w:r>
              <w:rPr>
                <w:noProof/>
                <w:webHidden/>
              </w:rPr>
              <w:tab/>
            </w:r>
            <w:r>
              <w:rPr>
                <w:noProof/>
                <w:webHidden/>
              </w:rPr>
              <w:fldChar w:fldCharType="begin"/>
            </w:r>
            <w:r>
              <w:rPr>
                <w:noProof/>
                <w:webHidden/>
              </w:rPr>
              <w:instrText xml:space="preserve"> PAGEREF _Toc241668221 \h </w:instrText>
            </w:r>
            <w:r>
              <w:rPr>
                <w:noProof/>
                <w:webHidden/>
              </w:rPr>
            </w:r>
            <w:r>
              <w:rPr>
                <w:noProof/>
                <w:webHidden/>
              </w:rPr>
              <w:fldChar w:fldCharType="separate"/>
            </w:r>
            <w:r w:rsidR="00695F61">
              <w:rPr>
                <w:noProof/>
                <w:webHidden/>
              </w:rPr>
              <w:t>206</w:t>
            </w:r>
            <w:r>
              <w:rPr>
                <w:noProof/>
                <w:webHidden/>
              </w:rPr>
              <w:fldChar w:fldCharType="end"/>
            </w:r>
          </w:hyperlink>
        </w:p>
        <w:p w14:paraId="649D0CC7" w14:textId="0E0480CE"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22" w:history="1">
            <w:r w:rsidRPr="008E4FA9">
              <w:rPr>
                <w:rStyle w:val="Hipercze"/>
                <w:rFonts w:ascii="Calibri" w:hAnsi="Calibri"/>
                <w:noProof/>
              </w:rPr>
              <w:t>Działanie FELU.07.08 Infrastruktura ochrony zdrowia</w:t>
            </w:r>
            <w:r>
              <w:rPr>
                <w:noProof/>
                <w:webHidden/>
              </w:rPr>
              <w:tab/>
            </w:r>
            <w:r>
              <w:rPr>
                <w:noProof/>
                <w:webHidden/>
              </w:rPr>
              <w:fldChar w:fldCharType="begin"/>
            </w:r>
            <w:r>
              <w:rPr>
                <w:noProof/>
                <w:webHidden/>
              </w:rPr>
              <w:instrText xml:space="preserve"> PAGEREF _Toc241668222 \h </w:instrText>
            </w:r>
            <w:r>
              <w:rPr>
                <w:noProof/>
                <w:webHidden/>
              </w:rPr>
            </w:r>
            <w:r>
              <w:rPr>
                <w:noProof/>
                <w:webHidden/>
              </w:rPr>
              <w:fldChar w:fldCharType="separate"/>
            </w:r>
            <w:r w:rsidR="00695F61">
              <w:rPr>
                <w:noProof/>
                <w:webHidden/>
              </w:rPr>
              <w:t>211</w:t>
            </w:r>
            <w:r>
              <w:rPr>
                <w:noProof/>
                <w:webHidden/>
              </w:rPr>
              <w:fldChar w:fldCharType="end"/>
            </w:r>
          </w:hyperlink>
        </w:p>
        <w:p w14:paraId="780019BD" w14:textId="45B577D4"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23" w:history="1">
            <w:r w:rsidRPr="008E4FA9">
              <w:rPr>
                <w:rStyle w:val="Hipercze"/>
                <w:rFonts w:ascii="Calibri" w:hAnsi="Calibri"/>
                <w:noProof/>
              </w:rPr>
              <w:t>Działanie FELU.07.09 Zrównoważony rozwój dziedzictwa kulturowego</w:t>
            </w:r>
            <w:r>
              <w:rPr>
                <w:noProof/>
                <w:webHidden/>
              </w:rPr>
              <w:tab/>
            </w:r>
            <w:r>
              <w:rPr>
                <w:noProof/>
                <w:webHidden/>
              </w:rPr>
              <w:fldChar w:fldCharType="begin"/>
            </w:r>
            <w:r>
              <w:rPr>
                <w:noProof/>
                <w:webHidden/>
              </w:rPr>
              <w:instrText xml:space="preserve"> PAGEREF _Toc241668223 \h </w:instrText>
            </w:r>
            <w:r>
              <w:rPr>
                <w:noProof/>
                <w:webHidden/>
              </w:rPr>
            </w:r>
            <w:r>
              <w:rPr>
                <w:noProof/>
                <w:webHidden/>
              </w:rPr>
              <w:fldChar w:fldCharType="separate"/>
            </w:r>
            <w:r w:rsidR="00695F61">
              <w:rPr>
                <w:noProof/>
                <w:webHidden/>
              </w:rPr>
              <w:t>216</w:t>
            </w:r>
            <w:r>
              <w:rPr>
                <w:noProof/>
                <w:webHidden/>
              </w:rPr>
              <w:fldChar w:fldCharType="end"/>
            </w:r>
          </w:hyperlink>
        </w:p>
        <w:p w14:paraId="36E853A2" w14:textId="18884896"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24" w:history="1">
            <w:r w:rsidRPr="008E4FA9">
              <w:rPr>
                <w:rStyle w:val="Hipercze"/>
                <w:rFonts w:ascii="Calibri" w:hAnsi="Calibri"/>
                <w:noProof/>
              </w:rPr>
              <w:t>Działanie FELU.07.10 Turystyczne Lubelskie</w:t>
            </w:r>
            <w:r>
              <w:rPr>
                <w:noProof/>
                <w:webHidden/>
              </w:rPr>
              <w:tab/>
            </w:r>
            <w:r>
              <w:rPr>
                <w:noProof/>
                <w:webHidden/>
              </w:rPr>
              <w:fldChar w:fldCharType="begin"/>
            </w:r>
            <w:r>
              <w:rPr>
                <w:noProof/>
                <w:webHidden/>
              </w:rPr>
              <w:instrText xml:space="preserve"> PAGEREF _Toc241668224 \h </w:instrText>
            </w:r>
            <w:r>
              <w:rPr>
                <w:noProof/>
                <w:webHidden/>
              </w:rPr>
            </w:r>
            <w:r>
              <w:rPr>
                <w:noProof/>
                <w:webHidden/>
              </w:rPr>
              <w:fldChar w:fldCharType="separate"/>
            </w:r>
            <w:r w:rsidR="00695F61">
              <w:rPr>
                <w:noProof/>
                <w:webHidden/>
              </w:rPr>
              <w:t>221</w:t>
            </w:r>
            <w:r>
              <w:rPr>
                <w:noProof/>
                <w:webHidden/>
              </w:rPr>
              <w:fldChar w:fldCharType="end"/>
            </w:r>
          </w:hyperlink>
        </w:p>
        <w:p w14:paraId="09DD3DF4" w14:textId="47C17D69"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25" w:history="1">
            <w:r w:rsidRPr="008E4FA9">
              <w:rPr>
                <w:rStyle w:val="Hipercze"/>
                <w:rFonts w:ascii="Calibri" w:hAnsi="Calibri"/>
                <w:noProof/>
              </w:rPr>
              <w:t>Priorytet FELU.08 Zwiększanie spójności społecznej</w:t>
            </w:r>
            <w:r>
              <w:rPr>
                <w:noProof/>
                <w:webHidden/>
              </w:rPr>
              <w:tab/>
            </w:r>
            <w:r>
              <w:rPr>
                <w:noProof/>
                <w:webHidden/>
              </w:rPr>
              <w:fldChar w:fldCharType="begin"/>
            </w:r>
            <w:r>
              <w:rPr>
                <w:noProof/>
                <w:webHidden/>
              </w:rPr>
              <w:instrText xml:space="preserve"> PAGEREF _Toc241668225 \h </w:instrText>
            </w:r>
            <w:r>
              <w:rPr>
                <w:noProof/>
                <w:webHidden/>
              </w:rPr>
            </w:r>
            <w:r>
              <w:rPr>
                <w:noProof/>
                <w:webHidden/>
              </w:rPr>
              <w:fldChar w:fldCharType="separate"/>
            </w:r>
            <w:r w:rsidR="00695F61">
              <w:rPr>
                <w:noProof/>
                <w:webHidden/>
              </w:rPr>
              <w:t>225</w:t>
            </w:r>
            <w:r>
              <w:rPr>
                <w:noProof/>
                <w:webHidden/>
              </w:rPr>
              <w:fldChar w:fldCharType="end"/>
            </w:r>
          </w:hyperlink>
        </w:p>
        <w:p w14:paraId="079E73CA" w14:textId="28EC186F"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26" w:history="1">
            <w:r w:rsidRPr="008E4FA9">
              <w:rPr>
                <w:rStyle w:val="Hipercze"/>
                <w:rFonts w:ascii="Calibri" w:hAnsi="Calibri"/>
                <w:noProof/>
              </w:rPr>
              <w:t>Działanie FELU.08.01 Aktywizacja społeczna i zawodowa</w:t>
            </w:r>
            <w:r>
              <w:rPr>
                <w:noProof/>
                <w:webHidden/>
              </w:rPr>
              <w:tab/>
            </w:r>
            <w:r>
              <w:rPr>
                <w:noProof/>
                <w:webHidden/>
              </w:rPr>
              <w:fldChar w:fldCharType="begin"/>
            </w:r>
            <w:r>
              <w:rPr>
                <w:noProof/>
                <w:webHidden/>
              </w:rPr>
              <w:instrText xml:space="preserve"> PAGEREF _Toc241668226 \h </w:instrText>
            </w:r>
            <w:r>
              <w:rPr>
                <w:noProof/>
                <w:webHidden/>
              </w:rPr>
            </w:r>
            <w:r>
              <w:rPr>
                <w:noProof/>
                <w:webHidden/>
              </w:rPr>
              <w:fldChar w:fldCharType="separate"/>
            </w:r>
            <w:r w:rsidR="00695F61">
              <w:rPr>
                <w:noProof/>
                <w:webHidden/>
              </w:rPr>
              <w:t>225</w:t>
            </w:r>
            <w:r>
              <w:rPr>
                <w:noProof/>
                <w:webHidden/>
              </w:rPr>
              <w:fldChar w:fldCharType="end"/>
            </w:r>
          </w:hyperlink>
        </w:p>
        <w:p w14:paraId="64CCBE0F" w14:textId="270F5D11"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27" w:history="1">
            <w:r w:rsidRPr="008E4FA9">
              <w:rPr>
                <w:rStyle w:val="Hipercze"/>
                <w:rFonts w:ascii="Calibri" w:hAnsi="Calibri"/>
                <w:noProof/>
              </w:rPr>
              <w:t>Działanie FELU.08.02 Ekonomia społeczna</w:t>
            </w:r>
            <w:r>
              <w:rPr>
                <w:noProof/>
                <w:webHidden/>
              </w:rPr>
              <w:tab/>
            </w:r>
            <w:r>
              <w:rPr>
                <w:noProof/>
                <w:webHidden/>
              </w:rPr>
              <w:fldChar w:fldCharType="begin"/>
            </w:r>
            <w:r>
              <w:rPr>
                <w:noProof/>
                <w:webHidden/>
              </w:rPr>
              <w:instrText xml:space="preserve"> PAGEREF _Toc241668227 \h </w:instrText>
            </w:r>
            <w:r>
              <w:rPr>
                <w:noProof/>
                <w:webHidden/>
              </w:rPr>
            </w:r>
            <w:r>
              <w:rPr>
                <w:noProof/>
                <w:webHidden/>
              </w:rPr>
              <w:fldChar w:fldCharType="separate"/>
            </w:r>
            <w:r w:rsidR="00695F61">
              <w:rPr>
                <w:noProof/>
                <w:webHidden/>
              </w:rPr>
              <w:t>231</w:t>
            </w:r>
            <w:r>
              <w:rPr>
                <w:noProof/>
                <w:webHidden/>
              </w:rPr>
              <w:fldChar w:fldCharType="end"/>
            </w:r>
          </w:hyperlink>
        </w:p>
        <w:p w14:paraId="1DA42FB3" w14:textId="1E296223"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28" w:history="1">
            <w:r w:rsidRPr="008E4FA9">
              <w:rPr>
                <w:rStyle w:val="Hipercze"/>
                <w:rFonts w:ascii="Calibri" w:hAnsi="Calibri"/>
                <w:noProof/>
              </w:rPr>
              <w:t>Działanie FELU.08.03 Integracja społeczno-gospodarcza obywateli państw trzecich</w:t>
            </w:r>
            <w:r>
              <w:rPr>
                <w:noProof/>
                <w:webHidden/>
              </w:rPr>
              <w:tab/>
            </w:r>
            <w:r>
              <w:rPr>
                <w:noProof/>
                <w:webHidden/>
              </w:rPr>
              <w:fldChar w:fldCharType="begin"/>
            </w:r>
            <w:r>
              <w:rPr>
                <w:noProof/>
                <w:webHidden/>
              </w:rPr>
              <w:instrText xml:space="preserve"> PAGEREF _Toc241668228 \h </w:instrText>
            </w:r>
            <w:r>
              <w:rPr>
                <w:noProof/>
                <w:webHidden/>
              </w:rPr>
            </w:r>
            <w:r>
              <w:rPr>
                <w:noProof/>
                <w:webHidden/>
              </w:rPr>
              <w:fldChar w:fldCharType="separate"/>
            </w:r>
            <w:r w:rsidR="00695F61">
              <w:rPr>
                <w:noProof/>
                <w:webHidden/>
              </w:rPr>
              <w:t>237</w:t>
            </w:r>
            <w:r>
              <w:rPr>
                <w:noProof/>
                <w:webHidden/>
              </w:rPr>
              <w:fldChar w:fldCharType="end"/>
            </w:r>
          </w:hyperlink>
        </w:p>
        <w:p w14:paraId="3EC6AF3C" w14:textId="76319064"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29" w:history="1">
            <w:r w:rsidRPr="008E4FA9">
              <w:rPr>
                <w:rStyle w:val="Hipercze"/>
                <w:rFonts w:ascii="Calibri" w:hAnsi="Calibri"/>
                <w:noProof/>
              </w:rPr>
              <w:t>Działanie FELU.08.04 Integracja społeczno-gospodarcza społeczności marginalizowanych</w:t>
            </w:r>
            <w:r>
              <w:rPr>
                <w:noProof/>
                <w:webHidden/>
              </w:rPr>
              <w:tab/>
            </w:r>
            <w:r>
              <w:rPr>
                <w:noProof/>
                <w:webHidden/>
              </w:rPr>
              <w:fldChar w:fldCharType="begin"/>
            </w:r>
            <w:r>
              <w:rPr>
                <w:noProof/>
                <w:webHidden/>
              </w:rPr>
              <w:instrText xml:space="preserve"> PAGEREF _Toc241668229 \h </w:instrText>
            </w:r>
            <w:r>
              <w:rPr>
                <w:noProof/>
                <w:webHidden/>
              </w:rPr>
            </w:r>
            <w:r>
              <w:rPr>
                <w:noProof/>
                <w:webHidden/>
              </w:rPr>
              <w:fldChar w:fldCharType="separate"/>
            </w:r>
            <w:r w:rsidR="00695F61">
              <w:rPr>
                <w:noProof/>
                <w:webHidden/>
              </w:rPr>
              <w:t>241</w:t>
            </w:r>
            <w:r>
              <w:rPr>
                <w:noProof/>
                <w:webHidden/>
              </w:rPr>
              <w:fldChar w:fldCharType="end"/>
            </w:r>
          </w:hyperlink>
        </w:p>
        <w:p w14:paraId="673D5607" w14:textId="6CEE519B"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30" w:history="1">
            <w:r w:rsidRPr="008E4FA9">
              <w:rPr>
                <w:rStyle w:val="Hipercze"/>
                <w:rFonts w:ascii="Calibri" w:hAnsi="Calibri"/>
                <w:noProof/>
              </w:rPr>
              <w:t>Działanie FELU.08.05 Usługi społeczne</w:t>
            </w:r>
            <w:r>
              <w:rPr>
                <w:noProof/>
                <w:webHidden/>
              </w:rPr>
              <w:tab/>
            </w:r>
            <w:r>
              <w:rPr>
                <w:noProof/>
                <w:webHidden/>
              </w:rPr>
              <w:fldChar w:fldCharType="begin"/>
            </w:r>
            <w:r>
              <w:rPr>
                <w:noProof/>
                <w:webHidden/>
              </w:rPr>
              <w:instrText xml:space="preserve"> PAGEREF _Toc241668230 \h </w:instrText>
            </w:r>
            <w:r>
              <w:rPr>
                <w:noProof/>
                <w:webHidden/>
              </w:rPr>
            </w:r>
            <w:r>
              <w:rPr>
                <w:noProof/>
                <w:webHidden/>
              </w:rPr>
              <w:fldChar w:fldCharType="separate"/>
            </w:r>
            <w:r w:rsidR="00695F61">
              <w:rPr>
                <w:noProof/>
                <w:webHidden/>
              </w:rPr>
              <w:t>246</w:t>
            </w:r>
            <w:r>
              <w:rPr>
                <w:noProof/>
                <w:webHidden/>
              </w:rPr>
              <w:fldChar w:fldCharType="end"/>
            </w:r>
          </w:hyperlink>
        </w:p>
        <w:p w14:paraId="371A4474" w14:textId="3DEA5445"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31" w:history="1">
            <w:r w:rsidRPr="008E4FA9">
              <w:rPr>
                <w:rStyle w:val="Hipercze"/>
                <w:rFonts w:ascii="Calibri" w:hAnsi="Calibri"/>
                <w:noProof/>
              </w:rPr>
              <w:t>Działanie FELU.08.06 Usługi zdrowotne</w:t>
            </w:r>
            <w:r>
              <w:rPr>
                <w:noProof/>
                <w:webHidden/>
              </w:rPr>
              <w:tab/>
            </w:r>
            <w:r>
              <w:rPr>
                <w:noProof/>
                <w:webHidden/>
              </w:rPr>
              <w:fldChar w:fldCharType="begin"/>
            </w:r>
            <w:r>
              <w:rPr>
                <w:noProof/>
                <w:webHidden/>
              </w:rPr>
              <w:instrText xml:space="preserve"> PAGEREF _Toc241668231 \h </w:instrText>
            </w:r>
            <w:r>
              <w:rPr>
                <w:noProof/>
                <w:webHidden/>
              </w:rPr>
            </w:r>
            <w:r>
              <w:rPr>
                <w:noProof/>
                <w:webHidden/>
              </w:rPr>
              <w:fldChar w:fldCharType="separate"/>
            </w:r>
            <w:r w:rsidR="00695F61">
              <w:rPr>
                <w:noProof/>
                <w:webHidden/>
              </w:rPr>
              <w:t>252</w:t>
            </w:r>
            <w:r>
              <w:rPr>
                <w:noProof/>
                <w:webHidden/>
              </w:rPr>
              <w:fldChar w:fldCharType="end"/>
            </w:r>
          </w:hyperlink>
        </w:p>
        <w:p w14:paraId="05C0DDED" w14:textId="29E4BAAD"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32" w:history="1">
            <w:r w:rsidRPr="008E4FA9">
              <w:rPr>
                <w:rStyle w:val="Hipercze"/>
                <w:rFonts w:ascii="Calibri" w:hAnsi="Calibri"/>
                <w:noProof/>
              </w:rPr>
              <w:t>Działanie FELU.08.07 Usługi społeczne w ramach Zintegrowanych Inwestycji Terytorialnych</w:t>
            </w:r>
            <w:r>
              <w:rPr>
                <w:noProof/>
                <w:webHidden/>
              </w:rPr>
              <w:tab/>
            </w:r>
            <w:r>
              <w:rPr>
                <w:noProof/>
                <w:webHidden/>
              </w:rPr>
              <w:fldChar w:fldCharType="begin"/>
            </w:r>
            <w:r>
              <w:rPr>
                <w:noProof/>
                <w:webHidden/>
              </w:rPr>
              <w:instrText xml:space="preserve"> PAGEREF _Toc241668232 \h </w:instrText>
            </w:r>
            <w:r>
              <w:rPr>
                <w:noProof/>
                <w:webHidden/>
              </w:rPr>
            </w:r>
            <w:r>
              <w:rPr>
                <w:noProof/>
                <w:webHidden/>
              </w:rPr>
              <w:fldChar w:fldCharType="separate"/>
            </w:r>
            <w:r w:rsidR="00695F61">
              <w:rPr>
                <w:noProof/>
                <w:webHidden/>
              </w:rPr>
              <w:t>258</w:t>
            </w:r>
            <w:r>
              <w:rPr>
                <w:noProof/>
                <w:webHidden/>
              </w:rPr>
              <w:fldChar w:fldCharType="end"/>
            </w:r>
          </w:hyperlink>
        </w:p>
        <w:p w14:paraId="530E8106" w14:textId="3CBDC0D5"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33" w:history="1">
            <w:r w:rsidRPr="008E4FA9">
              <w:rPr>
                <w:rStyle w:val="Hipercze"/>
                <w:rFonts w:ascii="Calibri" w:hAnsi="Calibri"/>
                <w:noProof/>
              </w:rPr>
              <w:t>Działanie FELU.08.08 Wsparcie rodziny i pieczy zastępczej</w:t>
            </w:r>
            <w:r>
              <w:rPr>
                <w:noProof/>
                <w:webHidden/>
              </w:rPr>
              <w:tab/>
            </w:r>
            <w:r>
              <w:rPr>
                <w:noProof/>
                <w:webHidden/>
              </w:rPr>
              <w:fldChar w:fldCharType="begin"/>
            </w:r>
            <w:r>
              <w:rPr>
                <w:noProof/>
                <w:webHidden/>
              </w:rPr>
              <w:instrText xml:space="preserve"> PAGEREF _Toc241668233 \h </w:instrText>
            </w:r>
            <w:r>
              <w:rPr>
                <w:noProof/>
                <w:webHidden/>
              </w:rPr>
            </w:r>
            <w:r>
              <w:rPr>
                <w:noProof/>
                <w:webHidden/>
              </w:rPr>
              <w:fldChar w:fldCharType="separate"/>
            </w:r>
            <w:r w:rsidR="00695F61">
              <w:rPr>
                <w:noProof/>
                <w:webHidden/>
              </w:rPr>
              <w:t>264</w:t>
            </w:r>
            <w:r>
              <w:rPr>
                <w:noProof/>
                <w:webHidden/>
              </w:rPr>
              <w:fldChar w:fldCharType="end"/>
            </w:r>
          </w:hyperlink>
        </w:p>
        <w:p w14:paraId="6E78984C" w14:textId="2680B075"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34" w:history="1">
            <w:r w:rsidRPr="008E4FA9">
              <w:rPr>
                <w:rStyle w:val="Hipercze"/>
                <w:rFonts w:ascii="Calibri" w:hAnsi="Calibri"/>
                <w:noProof/>
              </w:rPr>
              <w:t>Działanie FELU.08.09 Integracja społeczna osób najbardziej potrzebujących wsparcia</w:t>
            </w:r>
            <w:r>
              <w:rPr>
                <w:noProof/>
                <w:webHidden/>
              </w:rPr>
              <w:tab/>
            </w:r>
            <w:r>
              <w:rPr>
                <w:noProof/>
                <w:webHidden/>
              </w:rPr>
              <w:fldChar w:fldCharType="begin"/>
            </w:r>
            <w:r>
              <w:rPr>
                <w:noProof/>
                <w:webHidden/>
              </w:rPr>
              <w:instrText xml:space="preserve"> PAGEREF _Toc241668234 \h </w:instrText>
            </w:r>
            <w:r>
              <w:rPr>
                <w:noProof/>
                <w:webHidden/>
              </w:rPr>
            </w:r>
            <w:r>
              <w:rPr>
                <w:noProof/>
                <w:webHidden/>
              </w:rPr>
              <w:fldChar w:fldCharType="separate"/>
            </w:r>
            <w:r w:rsidR="00695F61">
              <w:rPr>
                <w:noProof/>
                <w:webHidden/>
              </w:rPr>
              <w:t>269</w:t>
            </w:r>
            <w:r>
              <w:rPr>
                <w:noProof/>
                <w:webHidden/>
              </w:rPr>
              <w:fldChar w:fldCharType="end"/>
            </w:r>
          </w:hyperlink>
        </w:p>
        <w:p w14:paraId="237782A3" w14:textId="03AFB6E5"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35" w:history="1">
            <w:r w:rsidRPr="008E4FA9">
              <w:rPr>
                <w:rStyle w:val="Hipercze"/>
                <w:rFonts w:ascii="Calibri" w:hAnsi="Calibri"/>
                <w:noProof/>
              </w:rPr>
              <w:t>Priorytet FELU.09 Zaspokajanie potrzeb rynku pracy</w:t>
            </w:r>
            <w:r>
              <w:rPr>
                <w:noProof/>
                <w:webHidden/>
              </w:rPr>
              <w:tab/>
            </w:r>
            <w:r>
              <w:rPr>
                <w:noProof/>
                <w:webHidden/>
              </w:rPr>
              <w:fldChar w:fldCharType="begin"/>
            </w:r>
            <w:r>
              <w:rPr>
                <w:noProof/>
                <w:webHidden/>
              </w:rPr>
              <w:instrText xml:space="preserve"> PAGEREF _Toc241668235 \h </w:instrText>
            </w:r>
            <w:r>
              <w:rPr>
                <w:noProof/>
                <w:webHidden/>
              </w:rPr>
            </w:r>
            <w:r>
              <w:rPr>
                <w:noProof/>
                <w:webHidden/>
              </w:rPr>
              <w:fldChar w:fldCharType="separate"/>
            </w:r>
            <w:r w:rsidR="00695F61">
              <w:rPr>
                <w:noProof/>
                <w:webHidden/>
              </w:rPr>
              <w:t>272</w:t>
            </w:r>
            <w:r>
              <w:rPr>
                <w:noProof/>
                <w:webHidden/>
              </w:rPr>
              <w:fldChar w:fldCharType="end"/>
            </w:r>
          </w:hyperlink>
        </w:p>
        <w:p w14:paraId="3ADB77C3" w14:textId="601255AD"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36" w:history="1">
            <w:r w:rsidRPr="008E4FA9">
              <w:rPr>
                <w:rStyle w:val="Hipercze"/>
                <w:rFonts w:ascii="Calibri" w:hAnsi="Calibri"/>
                <w:noProof/>
              </w:rPr>
              <w:t>Działanie FELU.09.01 Aktywizacja zawodowa – projekty PUP</w:t>
            </w:r>
            <w:r>
              <w:rPr>
                <w:noProof/>
                <w:webHidden/>
              </w:rPr>
              <w:tab/>
            </w:r>
            <w:r>
              <w:rPr>
                <w:noProof/>
                <w:webHidden/>
              </w:rPr>
              <w:fldChar w:fldCharType="begin"/>
            </w:r>
            <w:r>
              <w:rPr>
                <w:noProof/>
                <w:webHidden/>
              </w:rPr>
              <w:instrText xml:space="preserve"> PAGEREF _Toc241668236 \h </w:instrText>
            </w:r>
            <w:r>
              <w:rPr>
                <w:noProof/>
                <w:webHidden/>
              </w:rPr>
            </w:r>
            <w:r>
              <w:rPr>
                <w:noProof/>
                <w:webHidden/>
              </w:rPr>
              <w:fldChar w:fldCharType="separate"/>
            </w:r>
            <w:r w:rsidR="00695F61">
              <w:rPr>
                <w:noProof/>
                <w:webHidden/>
              </w:rPr>
              <w:t>273</w:t>
            </w:r>
            <w:r>
              <w:rPr>
                <w:noProof/>
                <w:webHidden/>
              </w:rPr>
              <w:fldChar w:fldCharType="end"/>
            </w:r>
          </w:hyperlink>
        </w:p>
        <w:p w14:paraId="108E57CC" w14:textId="1F56139E"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37" w:history="1">
            <w:r w:rsidRPr="008E4FA9">
              <w:rPr>
                <w:rStyle w:val="Hipercze"/>
                <w:rFonts w:ascii="Calibri" w:hAnsi="Calibri"/>
                <w:noProof/>
              </w:rPr>
              <w:t>Działanie FELU.09.02 Aktywizacja zawodowa</w:t>
            </w:r>
            <w:r>
              <w:rPr>
                <w:noProof/>
                <w:webHidden/>
              </w:rPr>
              <w:tab/>
            </w:r>
            <w:r>
              <w:rPr>
                <w:noProof/>
                <w:webHidden/>
              </w:rPr>
              <w:fldChar w:fldCharType="begin"/>
            </w:r>
            <w:r>
              <w:rPr>
                <w:noProof/>
                <w:webHidden/>
              </w:rPr>
              <w:instrText xml:space="preserve"> PAGEREF _Toc241668237 \h </w:instrText>
            </w:r>
            <w:r>
              <w:rPr>
                <w:noProof/>
                <w:webHidden/>
              </w:rPr>
            </w:r>
            <w:r>
              <w:rPr>
                <w:noProof/>
                <w:webHidden/>
              </w:rPr>
              <w:fldChar w:fldCharType="separate"/>
            </w:r>
            <w:r w:rsidR="00695F61">
              <w:rPr>
                <w:noProof/>
                <w:webHidden/>
              </w:rPr>
              <w:t>277</w:t>
            </w:r>
            <w:r>
              <w:rPr>
                <w:noProof/>
                <w:webHidden/>
              </w:rPr>
              <w:fldChar w:fldCharType="end"/>
            </w:r>
          </w:hyperlink>
        </w:p>
        <w:p w14:paraId="3FCAEC6D" w14:textId="30E25251"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38" w:history="1">
            <w:r w:rsidRPr="008E4FA9">
              <w:rPr>
                <w:rStyle w:val="Hipercze"/>
                <w:rFonts w:ascii="Calibri" w:hAnsi="Calibri"/>
                <w:noProof/>
              </w:rPr>
              <w:t>Działanie FELU.09.03 Wsparcie instytucji rynku pracy</w:t>
            </w:r>
            <w:r>
              <w:rPr>
                <w:noProof/>
                <w:webHidden/>
              </w:rPr>
              <w:tab/>
            </w:r>
            <w:r>
              <w:rPr>
                <w:noProof/>
                <w:webHidden/>
              </w:rPr>
              <w:fldChar w:fldCharType="begin"/>
            </w:r>
            <w:r>
              <w:rPr>
                <w:noProof/>
                <w:webHidden/>
              </w:rPr>
              <w:instrText xml:space="preserve"> PAGEREF _Toc241668238 \h </w:instrText>
            </w:r>
            <w:r>
              <w:rPr>
                <w:noProof/>
                <w:webHidden/>
              </w:rPr>
            </w:r>
            <w:r>
              <w:rPr>
                <w:noProof/>
                <w:webHidden/>
              </w:rPr>
              <w:fldChar w:fldCharType="separate"/>
            </w:r>
            <w:r w:rsidR="00695F61">
              <w:rPr>
                <w:noProof/>
                <w:webHidden/>
              </w:rPr>
              <w:t>282</w:t>
            </w:r>
            <w:r>
              <w:rPr>
                <w:noProof/>
                <w:webHidden/>
              </w:rPr>
              <w:fldChar w:fldCharType="end"/>
            </w:r>
          </w:hyperlink>
        </w:p>
        <w:p w14:paraId="66DCD7BA" w14:textId="4C464C49"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39" w:history="1">
            <w:r w:rsidRPr="008E4FA9">
              <w:rPr>
                <w:rStyle w:val="Hipercze"/>
                <w:rFonts w:ascii="Calibri" w:hAnsi="Calibri"/>
                <w:noProof/>
              </w:rPr>
              <w:t>Działanie FELU.09.04 Zrównoważony rynek pracy</w:t>
            </w:r>
            <w:r>
              <w:rPr>
                <w:noProof/>
                <w:webHidden/>
              </w:rPr>
              <w:tab/>
            </w:r>
            <w:r>
              <w:rPr>
                <w:noProof/>
                <w:webHidden/>
              </w:rPr>
              <w:fldChar w:fldCharType="begin"/>
            </w:r>
            <w:r>
              <w:rPr>
                <w:noProof/>
                <w:webHidden/>
              </w:rPr>
              <w:instrText xml:space="preserve"> PAGEREF _Toc241668239 \h </w:instrText>
            </w:r>
            <w:r>
              <w:rPr>
                <w:noProof/>
                <w:webHidden/>
              </w:rPr>
            </w:r>
            <w:r>
              <w:rPr>
                <w:noProof/>
                <w:webHidden/>
              </w:rPr>
              <w:fldChar w:fldCharType="separate"/>
            </w:r>
            <w:r w:rsidR="00695F61">
              <w:rPr>
                <w:noProof/>
                <w:webHidden/>
              </w:rPr>
              <w:t>286</w:t>
            </w:r>
            <w:r>
              <w:rPr>
                <w:noProof/>
                <w:webHidden/>
              </w:rPr>
              <w:fldChar w:fldCharType="end"/>
            </w:r>
          </w:hyperlink>
        </w:p>
        <w:p w14:paraId="414CFB5F" w14:textId="761A3F56"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40" w:history="1">
            <w:r w:rsidRPr="008E4FA9">
              <w:rPr>
                <w:rStyle w:val="Hipercze"/>
                <w:rFonts w:ascii="Calibri" w:hAnsi="Calibri"/>
                <w:noProof/>
              </w:rPr>
              <w:t>Działanie FELU.09.05 Ochrona środowiska pracy</w:t>
            </w:r>
            <w:r>
              <w:rPr>
                <w:noProof/>
                <w:webHidden/>
              </w:rPr>
              <w:tab/>
            </w:r>
            <w:r>
              <w:rPr>
                <w:noProof/>
                <w:webHidden/>
              </w:rPr>
              <w:fldChar w:fldCharType="begin"/>
            </w:r>
            <w:r>
              <w:rPr>
                <w:noProof/>
                <w:webHidden/>
              </w:rPr>
              <w:instrText xml:space="preserve"> PAGEREF _Toc241668240 \h </w:instrText>
            </w:r>
            <w:r>
              <w:rPr>
                <w:noProof/>
                <w:webHidden/>
              </w:rPr>
            </w:r>
            <w:r>
              <w:rPr>
                <w:noProof/>
                <w:webHidden/>
              </w:rPr>
              <w:fldChar w:fldCharType="separate"/>
            </w:r>
            <w:r w:rsidR="00695F61">
              <w:rPr>
                <w:noProof/>
                <w:webHidden/>
              </w:rPr>
              <w:t>291</w:t>
            </w:r>
            <w:r>
              <w:rPr>
                <w:noProof/>
                <w:webHidden/>
              </w:rPr>
              <w:fldChar w:fldCharType="end"/>
            </w:r>
          </w:hyperlink>
        </w:p>
        <w:p w14:paraId="41544E91" w14:textId="64423898"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41" w:history="1">
            <w:r w:rsidRPr="008E4FA9">
              <w:rPr>
                <w:rStyle w:val="Hipercze"/>
                <w:rFonts w:ascii="Calibri" w:hAnsi="Calibri"/>
                <w:noProof/>
              </w:rPr>
              <w:t>Działanie FELU.09.06 Adaptacyjność pracodawców  i pracowników do zmian</w:t>
            </w:r>
            <w:r>
              <w:rPr>
                <w:noProof/>
                <w:webHidden/>
              </w:rPr>
              <w:tab/>
            </w:r>
            <w:r>
              <w:rPr>
                <w:noProof/>
                <w:webHidden/>
              </w:rPr>
              <w:fldChar w:fldCharType="begin"/>
            </w:r>
            <w:r>
              <w:rPr>
                <w:noProof/>
                <w:webHidden/>
              </w:rPr>
              <w:instrText xml:space="preserve"> PAGEREF _Toc241668241 \h </w:instrText>
            </w:r>
            <w:r>
              <w:rPr>
                <w:noProof/>
                <w:webHidden/>
              </w:rPr>
            </w:r>
            <w:r>
              <w:rPr>
                <w:noProof/>
                <w:webHidden/>
              </w:rPr>
              <w:fldChar w:fldCharType="separate"/>
            </w:r>
            <w:r w:rsidR="00695F61">
              <w:rPr>
                <w:noProof/>
                <w:webHidden/>
              </w:rPr>
              <w:t>296</w:t>
            </w:r>
            <w:r>
              <w:rPr>
                <w:noProof/>
                <w:webHidden/>
              </w:rPr>
              <w:fldChar w:fldCharType="end"/>
            </w:r>
          </w:hyperlink>
        </w:p>
        <w:p w14:paraId="5A56EF75" w14:textId="27B4BE29"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42" w:history="1">
            <w:r w:rsidRPr="008E4FA9">
              <w:rPr>
                <w:rStyle w:val="Hipercze"/>
                <w:rFonts w:ascii="Calibri" w:hAnsi="Calibri"/>
                <w:noProof/>
              </w:rPr>
              <w:t>Działanie FELU.09.07 Outplacement</w:t>
            </w:r>
            <w:r>
              <w:rPr>
                <w:noProof/>
                <w:webHidden/>
              </w:rPr>
              <w:tab/>
            </w:r>
            <w:r>
              <w:rPr>
                <w:noProof/>
                <w:webHidden/>
              </w:rPr>
              <w:fldChar w:fldCharType="begin"/>
            </w:r>
            <w:r>
              <w:rPr>
                <w:noProof/>
                <w:webHidden/>
              </w:rPr>
              <w:instrText xml:space="preserve"> PAGEREF _Toc241668242 \h </w:instrText>
            </w:r>
            <w:r>
              <w:rPr>
                <w:noProof/>
                <w:webHidden/>
              </w:rPr>
            </w:r>
            <w:r>
              <w:rPr>
                <w:noProof/>
                <w:webHidden/>
              </w:rPr>
              <w:fldChar w:fldCharType="separate"/>
            </w:r>
            <w:r w:rsidR="00695F61">
              <w:rPr>
                <w:noProof/>
                <w:webHidden/>
              </w:rPr>
              <w:t>300</w:t>
            </w:r>
            <w:r>
              <w:rPr>
                <w:noProof/>
                <w:webHidden/>
              </w:rPr>
              <w:fldChar w:fldCharType="end"/>
            </w:r>
          </w:hyperlink>
        </w:p>
        <w:p w14:paraId="542D5317" w14:textId="20C49F8D"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43" w:history="1">
            <w:r w:rsidRPr="008E4FA9">
              <w:rPr>
                <w:rStyle w:val="Hipercze"/>
                <w:rFonts w:ascii="Calibri" w:hAnsi="Calibri"/>
                <w:noProof/>
              </w:rPr>
              <w:t>Działanie FELU.09.08 Aktywizacja zawodowa - projekty OHP</w:t>
            </w:r>
            <w:r>
              <w:rPr>
                <w:noProof/>
                <w:webHidden/>
              </w:rPr>
              <w:tab/>
            </w:r>
            <w:r>
              <w:rPr>
                <w:noProof/>
                <w:webHidden/>
              </w:rPr>
              <w:fldChar w:fldCharType="begin"/>
            </w:r>
            <w:r>
              <w:rPr>
                <w:noProof/>
                <w:webHidden/>
              </w:rPr>
              <w:instrText xml:space="preserve"> PAGEREF _Toc241668243 \h </w:instrText>
            </w:r>
            <w:r>
              <w:rPr>
                <w:noProof/>
                <w:webHidden/>
              </w:rPr>
            </w:r>
            <w:r>
              <w:rPr>
                <w:noProof/>
                <w:webHidden/>
              </w:rPr>
              <w:fldChar w:fldCharType="separate"/>
            </w:r>
            <w:r w:rsidR="00695F61">
              <w:rPr>
                <w:noProof/>
                <w:webHidden/>
              </w:rPr>
              <w:t>304</w:t>
            </w:r>
            <w:r>
              <w:rPr>
                <w:noProof/>
                <w:webHidden/>
              </w:rPr>
              <w:fldChar w:fldCharType="end"/>
            </w:r>
          </w:hyperlink>
        </w:p>
        <w:p w14:paraId="69D96F4C" w14:textId="02374DFC"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44" w:history="1">
            <w:r w:rsidRPr="008E4FA9">
              <w:rPr>
                <w:rStyle w:val="Hipercze"/>
                <w:rFonts w:ascii="Calibri" w:hAnsi="Calibri"/>
                <w:noProof/>
              </w:rPr>
              <w:t>Priorytet FELU.10 Lepsza edukacja</w:t>
            </w:r>
            <w:r>
              <w:rPr>
                <w:noProof/>
                <w:webHidden/>
              </w:rPr>
              <w:tab/>
            </w:r>
            <w:r>
              <w:rPr>
                <w:noProof/>
                <w:webHidden/>
              </w:rPr>
              <w:fldChar w:fldCharType="begin"/>
            </w:r>
            <w:r>
              <w:rPr>
                <w:noProof/>
                <w:webHidden/>
              </w:rPr>
              <w:instrText xml:space="preserve"> PAGEREF _Toc241668244 \h </w:instrText>
            </w:r>
            <w:r>
              <w:rPr>
                <w:noProof/>
                <w:webHidden/>
              </w:rPr>
            </w:r>
            <w:r>
              <w:rPr>
                <w:noProof/>
                <w:webHidden/>
              </w:rPr>
              <w:fldChar w:fldCharType="separate"/>
            </w:r>
            <w:r w:rsidR="00695F61">
              <w:rPr>
                <w:noProof/>
                <w:webHidden/>
              </w:rPr>
              <w:t>307</w:t>
            </w:r>
            <w:r>
              <w:rPr>
                <w:noProof/>
                <w:webHidden/>
              </w:rPr>
              <w:fldChar w:fldCharType="end"/>
            </w:r>
          </w:hyperlink>
        </w:p>
        <w:p w14:paraId="558F9D8F" w14:textId="7FE0F5E0"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45" w:history="1">
            <w:r w:rsidRPr="008E4FA9">
              <w:rPr>
                <w:rStyle w:val="Hipercze"/>
                <w:rFonts w:ascii="Calibri" w:hAnsi="Calibri"/>
                <w:noProof/>
              </w:rPr>
              <w:t>Działanie FELU.10.01 Skuteczna edukacja</w:t>
            </w:r>
            <w:r>
              <w:rPr>
                <w:noProof/>
                <w:webHidden/>
              </w:rPr>
              <w:tab/>
            </w:r>
            <w:r>
              <w:rPr>
                <w:noProof/>
                <w:webHidden/>
              </w:rPr>
              <w:fldChar w:fldCharType="begin"/>
            </w:r>
            <w:r>
              <w:rPr>
                <w:noProof/>
                <w:webHidden/>
              </w:rPr>
              <w:instrText xml:space="preserve"> PAGEREF _Toc241668245 \h </w:instrText>
            </w:r>
            <w:r>
              <w:rPr>
                <w:noProof/>
                <w:webHidden/>
              </w:rPr>
            </w:r>
            <w:r>
              <w:rPr>
                <w:noProof/>
                <w:webHidden/>
              </w:rPr>
              <w:fldChar w:fldCharType="separate"/>
            </w:r>
            <w:r w:rsidR="00695F61">
              <w:rPr>
                <w:noProof/>
                <w:webHidden/>
              </w:rPr>
              <w:t>308</w:t>
            </w:r>
            <w:r>
              <w:rPr>
                <w:noProof/>
                <w:webHidden/>
              </w:rPr>
              <w:fldChar w:fldCharType="end"/>
            </w:r>
          </w:hyperlink>
        </w:p>
        <w:p w14:paraId="019C66D2" w14:textId="2A1B2047"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46" w:history="1">
            <w:r w:rsidRPr="008E4FA9">
              <w:rPr>
                <w:rStyle w:val="Hipercze"/>
                <w:rFonts w:ascii="Calibri" w:hAnsi="Calibri"/>
                <w:noProof/>
              </w:rPr>
              <w:t>Działanie FELU.10.02 Edukacja przedszkolna</w:t>
            </w:r>
            <w:r>
              <w:rPr>
                <w:noProof/>
                <w:webHidden/>
              </w:rPr>
              <w:tab/>
            </w:r>
            <w:r>
              <w:rPr>
                <w:noProof/>
                <w:webHidden/>
              </w:rPr>
              <w:fldChar w:fldCharType="begin"/>
            </w:r>
            <w:r>
              <w:rPr>
                <w:noProof/>
                <w:webHidden/>
              </w:rPr>
              <w:instrText xml:space="preserve"> PAGEREF _Toc241668246 \h </w:instrText>
            </w:r>
            <w:r>
              <w:rPr>
                <w:noProof/>
                <w:webHidden/>
              </w:rPr>
            </w:r>
            <w:r>
              <w:rPr>
                <w:noProof/>
                <w:webHidden/>
              </w:rPr>
              <w:fldChar w:fldCharType="separate"/>
            </w:r>
            <w:r w:rsidR="00695F61">
              <w:rPr>
                <w:noProof/>
                <w:webHidden/>
              </w:rPr>
              <w:t>312</w:t>
            </w:r>
            <w:r>
              <w:rPr>
                <w:noProof/>
                <w:webHidden/>
              </w:rPr>
              <w:fldChar w:fldCharType="end"/>
            </w:r>
          </w:hyperlink>
        </w:p>
        <w:p w14:paraId="68214108" w14:textId="5FDADE90"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47" w:history="1">
            <w:r w:rsidRPr="008E4FA9">
              <w:rPr>
                <w:rStyle w:val="Hipercze"/>
                <w:rFonts w:ascii="Calibri" w:hAnsi="Calibri"/>
                <w:noProof/>
              </w:rPr>
              <w:t>Działanie FELU.10.03 Kształcenie ogólne</w:t>
            </w:r>
            <w:r>
              <w:rPr>
                <w:noProof/>
                <w:webHidden/>
              </w:rPr>
              <w:tab/>
            </w:r>
            <w:r>
              <w:rPr>
                <w:noProof/>
                <w:webHidden/>
              </w:rPr>
              <w:fldChar w:fldCharType="begin"/>
            </w:r>
            <w:r>
              <w:rPr>
                <w:noProof/>
                <w:webHidden/>
              </w:rPr>
              <w:instrText xml:space="preserve"> PAGEREF _Toc241668247 \h </w:instrText>
            </w:r>
            <w:r>
              <w:rPr>
                <w:noProof/>
                <w:webHidden/>
              </w:rPr>
            </w:r>
            <w:r>
              <w:rPr>
                <w:noProof/>
                <w:webHidden/>
              </w:rPr>
              <w:fldChar w:fldCharType="separate"/>
            </w:r>
            <w:r w:rsidR="00695F61">
              <w:rPr>
                <w:noProof/>
                <w:webHidden/>
              </w:rPr>
              <w:t>317</w:t>
            </w:r>
            <w:r>
              <w:rPr>
                <w:noProof/>
                <w:webHidden/>
              </w:rPr>
              <w:fldChar w:fldCharType="end"/>
            </w:r>
          </w:hyperlink>
        </w:p>
        <w:p w14:paraId="5EC8B954" w14:textId="11A63FCE"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48" w:history="1">
            <w:r w:rsidRPr="008E4FA9">
              <w:rPr>
                <w:rStyle w:val="Hipercze"/>
                <w:rFonts w:ascii="Calibri" w:hAnsi="Calibri"/>
                <w:noProof/>
              </w:rPr>
              <w:t>Działanie FELU.10.04 Kształcenie zawodowe</w:t>
            </w:r>
            <w:r>
              <w:rPr>
                <w:noProof/>
                <w:webHidden/>
              </w:rPr>
              <w:tab/>
            </w:r>
            <w:r>
              <w:rPr>
                <w:noProof/>
                <w:webHidden/>
              </w:rPr>
              <w:fldChar w:fldCharType="begin"/>
            </w:r>
            <w:r>
              <w:rPr>
                <w:noProof/>
                <w:webHidden/>
              </w:rPr>
              <w:instrText xml:space="preserve"> PAGEREF _Toc241668248 \h </w:instrText>
            </w:r>
            <w:r>
              <w:rPr>
                <w:noProof/>
                <w:webHidden/>
              </w:rPr>
            </w:r>
            <w:r>
              <w:rPr>
                <w:noProof/>
                <w:webHidden/>
              </w:rPr>
              <w:fldChar w:fldCharType="separate"/>
            </w:r>
            <w:r w:rsidR="00695F61">
              <w:rPr>
                <w:noProof/>
                <w:webHidden/>
              </w:rPr>
              <w:t>322</w:t>
            </w:r>
            <w:r>
              <w:rPr>
                <w:noProof/>
                <w:webHidden/>
              </w:rPr>
              <w:fldChar w:fldCharType="end"/>
            </w:r>
          </w:hyperlink>
        </w:p>
        <w:p w14:paraId="557AC69F" w14:textId="092DA08D"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49" w:history="1">
            <w:r w:rsidRPr="008E4FA9">
              <w:rPr>
                <w:rStyle w:val="Hipercze"/>
                <w:rFonts w:ascii="Calibri" w:hAnsi="Calibri"/>
                <w:noProof/>
              </w:rPr>
              <w:t>Działanie FELU.10.05 Wsparcie edukacji w ramach Zintegrowanych Inwestycji Terytorialnych</w:t>
            </w:r>
            <w:r>
              <w:rPr>
                <w:noProof/>
                <w:webHidden/>
              </w:rPr>
              <w:tab/>
            </w:r>
            <w:r>
              <w:rPr>
                <w:noProof/>
                <w:webHidden/>
              </w:rPr>
              <w:fldChar w:fldCharType="begin"/>
            </w:r>
            <w:r>
              <w:rPr>
                <w:noProof/>
                <w:webHidden/>
              </w:rPr>
              <w:instrText xml:space="preserve"> PAGEREF _Toc241668249 \h </w:instrText>
            </w:r>
            <w:r>
              <w:rPr>
                <w:noProof/>
                <w:webHidden/>
              </w:rPr>
            </w:r>
            <w:r>
              <w:rPr>
                <w:noProof/>
                <w:webHidden/>
              </w:rPr>
              <w:fldChar w:fldCharType="separate"/>
            </w:r>
            <w:r w:rsidR="00695F61">
              <w:rPr>
                <w:noProof/>
                <w:webHidden/>
              </w:rPr>
              <w:t>329</w:t>
            </w:r>
            <w:r>
              <w:rPr>
                <w:noProof/>
                <w:webHidden/>
              </w:rPr>
              <w:fldChar w:fldCharType="end"/>
            </w:r>
          </w:hyperlink>
        </w:p>
        <w:p w14:paraId="6222AC4F" w14:textId="3F974BCE"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50" w:history="1">
            <w:r w:rsidRPr="008E4FA9">
              <w:rPr>
                <w:rStyle w:val="Hipercze"/>
                <w:rFonts w:ascii="Calibri" w:hAnsi="Calibri"/>
                <w:noProof/>
              </w:rPr>
              <w:t>Działanie FELU.10.06 Uczenie się osób dorosłych</w:t>
            </w:r>
            <w:r>
              <w:rPr>
                <w:noProof/>
                <w:webHidden/>
              </w:rPr>
              <w:tab/>
            </w:r>
            <w:r>
              <w:rPr>
                <w:noProof/>
                <w:webHidden/>
              </w:rPr>
              <w:fldChar w:fldCharType="begin"/>
            </w:r>
            <w:r>
              <w:rPr>
                <w:noProof/>
                <w:webHidden/>
              </w:rPr>
              <w:instrText xml:space="preserve"> PAGEREF _Toc241668250 \h </w:instrText>
            </w:r>
            <w:r>
              <w:rPr>
                <w:noProof/>
                <w:webHidden/>
              </w:rPr>
            </w:r>
            <w:r>
              <w:rPr>
                <w:noProof/>
                <w:webHidden/>
              </w:rPr>
              <w:fldChar w:fldCharType="separate"/>
            </w:r>
            <w:r w:rsidR="00695F61">
              <w:rPr>
                <w:noProof/>
                <w:webHidden/>
              </w:rPr>
              <w:t>334</w:t>
            </w:r>
            <w:r>
              <w:rPr>
                <w:noProof/>
                <w:webHidden/>
              </w:rPr>
              <w:fldChar w:fldCharType="end"/>
            </w:r>
          </w:hyperlink>
        </w:p>
        <w:p w14:paraId="673937C7" w14:textId="0A03563C"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51" w:history="1">
            <w:r w:rsidRPr="008E4FA9">
              <w:rPr>
                <w:rStyle w:val="Hipercze"/>
                <w:rFonts w:ascii="Calibri" w:hAnsi="Calibri"/>
                <w:noProof/>
              </w:rPr>
              <w:t>Działanie FELU.10.07 Budowanie potencjału organizacji społeczeństwa obywatelskiego w obszarze edukacji</w:t>
            </w:r>
            <w:r>
              <w:rPr>
                <w:noProof/>
                <w:webHidden/>
              </w:rPr>
              <w:tab/>
            </w:r>
            <w:r>
              <w:rPr>
                <w:noProof/>
                <w:webHidden/>
              </w:rPr>
              <w:fldChar w:fldCharType="begin"/>
            </w:r>
            <w:r>
              <w:rPr>
                <w:noProof/>
                <w:webHidden/>
              </w:rPr>
              <w:instrText xml:space="preserve"> PAGEREF _Toc241668251 \h </w:instrText>
            </w:r>
            <w:r>
              <w:rPr>
                <w:noProof/>
                <w:webHidden/>
              </w:rPr>
            </w:r>
            <w:r>
              <w:rPr>
                <w:noProof/>
                <w:webHidden/>
              </w:rPr>
              <w:fldChar w:fldCharType="separate"/>
            </w:r>
            <w:r w:rsidR="00695F61">
              <w:rPr>
                <w:noProof/>
                <w:webHidden/>
              </w:rPr>
              <w:t>340</w:t>
            </w:r>
            <w:r>
              <w:rPr>
                <w:noProof/>
                <w:webHidden/>
              </w:rPr>
              <w:fldChar w:fldCharType="end"/>
            </w:r>
          </w:hyperlink>
        </w:p>
        <w:p w14:paraId="191DA869" w14:textId="2669ACF7"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52" w:history="1">
            <w:r w:rsidRPr="008E4FA9">
              <w:rPr>
                <w:rStyle w:val="Hipercze"/>
                <w:rFonts w:ascii="Calibri" w:hAnsi="Calibri"/>
                <w:noProof/>
              </w:rPr>
              <w:t>Priorytet FELU.11 Rozwój zrównoważony terytorialnie</w:t>
            </w:r>
            <w:r>
              <w:rPr>
                <w:noProof/>
                <w:webHidden/>
              </w:rPr>
              <w:tab/>
            </w:r>
            <w:r>
              <w:rPr>
                <w:noProof/>
                <w:webHidden/>
              </w:rPr>
              <w:fldChar w:fldCharType="begin"/>
            </w:r>
            <w:r>
              <w:rPr>
                <w:noProof/>
                <w:webHidden/>
              </w:rPr>
              <w:instrText xml:space="preserve"> PAGEREF _Toc241668252 \h </w:instrText>
            </w:r>
            <w:r>
              <w:rPr>
                <w:noProof/>
                <w:webHidden/>
              </w:rPr>
            </w:r>
            <w:r>
              <w:rPr>
                <w:noProof/>
                <w:webHidden/>
              </w:rPr>
              <w:fldChar w:fldCharType="separate"/>
            </w:r>
            <w:r w:rsidR="00695F61">
              <w:rPr>
                <w:noProof/>
                <w:webHidden/>
              </w:rPr>
              <w:t>343</w:t>
            </w:r>
            <w:r>
              <w:rPr>
                <w:noProof/>
                <w:webHidden/>
              </w:rPr>
              <w:fldChar w:fldCharType="end"/>
            </w:r>
          </w:hyperlink>
        </w:p>
        <w:p w14:paraId="21D272D4" w14:textId="641346EF"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53" w:history="1">
            <w:r w:rsidRPr="008E4FA9">
              <w:rPr>
                <w:rStyle w:val="Hipercze"/>
                <w:rFonts w:ascii="Calibri" w:hAnsi="Calibri"/>
                <w:noProof/>
              </w:rPr>
              <w:t>Działanie FELU.11.01 Rewitalizacja zdegradowanych obszarów miejskich</w:t>
            </w:r>
            <w:r>
              <w:rPr>
                <w:noProof/>
                <w:webHidden/>
              </w:rPr>
              <w:tab/>
            </w:r>
            <w:r>
              <w:rPr>
                <w:noProof/>
                <w:webHidden/>
              </w:rPr>
              <w:fldChar w:fldCharType="begin"/>
            </w:r>
            <w:r>
              <w:rPr>
                <w:noProof/>
                <w:webHidden/>
              </w:rPr>
              <w:instrText xml:space="preserve"> PAGEREF _Toc241668253 \h </w:instrText>
            </w:r>
            <w:r>
              <w:rPr>
                <w:noProof/>
                <w:webHidden/>
              </w:rPr>
            </w:r>
            <w:r>
              <w:rPr>
                <w:noProof/>
                <w:webHidden/>
              </w:rPr>
              <w:fldChar w:fldCharType="separate"/>
            </w:r>
            <w:r w:rsidR="00695F61">
              <w:rPr>
                <w:noProof/>
                <w:webHidden/>
              </w:rPr>
              <w:t>344</w:t>
            </w:r>
            <w:r>
              <w:rPr>
                <w:noProof/>
                <w:webHidden/>
              </w:rPr>
              <w:fldChar w:fldCharType="end"/>
            </w:r>
          </w:hyperlink>
        </w:p>
        <w:p w14:paraId="218BE8B6" w14:textId="3ED9ECAB"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54" w:history="1">
            <w:r w:rsidRPr="008E4FA9">
              <w:rPr>
                <w:rStyle w:val="Hipercze"/>
                <w:rFonts w:ascii="Calibri" w:hAnsi="Calibri"/>
                <w:noProof/>
              </w:rPr>
              <w:t>Działanie FELU.11.02 Ochrona dziedzictwa naturalnego, bezpieczeństwo i zrównoważony rozwój turystyki obszarów miejskich i ich obszarów funkcjonalnych w ramach Zintegrowanych Inwestycji Terytorialnych</w:t>
            </w:r>
            <w:r>
              <w:rPr>
                <w:noProof/>
                <w:webHidden/>
              </w:rPr>
              <w:tab/>
            </w:r>
            <w:r>
              <w:rPr>
                <w:noProof/>
                <w:webHidden/>
              </w:rPr>
              <w:fldChar w:fldCharType="begin"/>
            </w:r>
            <w:r>
              <w:rPr>
                <w:noProof/>
                <w:webHidden/>
              </w:rPr>
              <w:instrText xml:space="preserve"> PAGEREF _Toc241668254 \h </w:instrText>
            </w:r>
            <w:r>
              <w:rPr>
                <w:noProof/>
                <w:webHidden/>
              </w:rPr>
            </w:r>
            <w:r>
              <w:rPr>
                <w:noProof/>
                <w:webHidden/>
              </w:rPr>
              <w:fldChar w:fldCharType="separate"/>
            </w:r>
            <w:r w:rsidR="00695F61">
              <w:rPr>
                <w:noProof/>
                <w:webHidden/>
              </w:rPr>
              <w:t>350</w:t>
            </w:r>
            <w:r>
              <w:rPr>
                <w:noProof/>
                <w:webHidden/>
              </w:rPr>
              <w:fldChar w:fldCharType="end"/>
            </w:r>
          </w:hyperlink>
        </w:p>
        <w:p w14:paraId="0F6B62B7" w14:textId="7EF0AA9B"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55" w:history="1">
            <w:r w:rsidRPr="008E4FA9">
              <w:rPr>
                <w:rStyle w:val="Hipercze"/>
                <w:rFonts w:ascii="Calibri" w:hAnsi="Calibri"/>
                <w:noProof/>
              </w:rPr>
              <w:t>Działanie FELU.11.03 Ochrona dziedzictwa kulturowego obszarów miejskich i ich obszarów funkcjonalnych w ramach Zintegrowanych Inwestycji Terytorialnych</w:t>
            </w:r>
            <w:r>
              <w:rPr>
                <w:noProof/>
                <w:webHidden/>
              </w:rPr>
              <w:tab/>
            </w:r>
            <w:r>
              <w:rPr>
                <w:noProof/>
                <w:webHidden/>
              </w:rPr>
              <w:fldChar w:fldCharType="begin"/>
            </w:r>
            <w:r>
              <w:rPr>
                <w:noProof/>
                <w:webHidden/>
              </w:rPr>
              <w:instrText xml:space="preserve"> PAGEREF _Toc241668255 \h </w:instrText>
            </w:r>
            <w:r>
              <w:rPr>
                <w:noProof/>
                <w:webHidden/>
              </w:rPr>
            </w:r>
            <w:r>
              <w:rPr>
                <w:noProof/>
                <w:webHidden/>
              </w:rPr>
              <w:fldChar w:fldCharType="separate"/>
            </w:r>
            <w:r w:rsidR="00695F61">
              <w:rPr>
                <w:noProof/>
                <w:webHidden/>
              </w:rPr>
              <w:t>355</w:t>
            </w:r>
            <w:r>
              <w:rPr>
                <w:noProof/>
                <w:webHidden/>
              </w:rPr>
              <w:fldChar w:fldCharType="end"/>
            </w:r>
          </w:hyperlink>
        </w:p>
        <w:p w14:paraId="25B6BCBB" w14:textId="035AA200"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56" w:history="1">
            <w:r w:rsidRPr="008E4FA9">
              <w:rPr>
                <w:rStyle w:val="Hipercze"/>
                <w:rFonts w:ascii="Calibri" w:hAnsi="Calibri"/>
                <w:noProof/>
              </w:rPr>
              <w:t>Działanie FELU.11.04 Rewitalizacja obszarów innych niż miejskie</w:t>
            </w:r>
            <w:r>
              <w:rPr>
                <w:noProof/>
                <w:webHidden/>
              </w:rPr>
              <w:tab/>
            </w:r>
            <w:r>
              <w:rPr>
                <w:noProof/>
                <w:webHidden/>
              </w:rPr>
              <w:fldChar w:fldCharType="begin"/>
            </w:r>
            <w:r>
              <w:rPr>
                <w:noProof/>
                <w:webHidden/>
              </w:rPr>
              <w:instrText xml:space="preserve"> PAGEREF _Toc241668256 \h </w:instrText>
            </w:r>
            <w:r>
              <w:rPr>
                <w:noProof/>
                <w:webHidden/>
              </w:rPr>
            </w:r>
            <w:r>
              <w:rPr>
                <w:noProof/>
                <w:webHidden/>
              </w:rPr>
              <w:fldChar w:fldCharType="separate"/>
            </w:r>
            <w:r w:rsidR="00695F61">
              <w:rPr>
                <w:noProof/>
                <w:webHidden/>
              </w:rPr>
              <w:t>360</w:t>
            </w:r>
            <w:r>
              <w:rPr>
                <w:noProof/>
                <w:webHidden/>
              </w:rPr>
              <w:fldChar w:fldCharType="end"/>
            </w:r>
          </w:hyperlink>
        </w:p>
        <w:p w14:paraId="6E7318E3" w14:textId="3AD7D594"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57" w:history="1">
            <w:r w:rsidRPr="008E4FA9">
              <w:rPr>
                <w:rStyle w:val="Hipercze"/>
                <w:rFonts w:ascii="Calibri" w:hAnsi="Calibri"/>
                <w:noProof/>
              </w:rPr>
              <w:t>Działanie FELU.11.05 Ochrona dziedzictwa naturalnego, bezpieczeństwo i rozwój zrównoważonej turystyki obszarów innych niż miejskie</w:t>
            </w:r>
            <w:r>
              <w:rPr>
                <w:noProof/>
                <w:webHidden/>
              </w:rPr>
              <w:tab/>
            </w:r>
            <w:r>
              <w:rPr>
                <w:noProof/>
                <w:webHidden/>
              </w:rPr>
              <w:fldChar w:fldCharType="begin"/>
            </w:r>
            <w:r>
              <w:rPr>
                <w:noProof/>
                <w:webHidden/>
              </w:rPr>
              <w:instrText xml:space="preserve"> PAGEREF _Toc241668257 \h </w:instrText>
            </w:r>
            <w:r>
              <w:rPr>
                <w:noProof/>
                <w:webHidden/>
              </w:rPr>
            </w:r>
            <w:r>
              <w:rPr>
                <w:noProof/>
                <w:webHidden/>
              </w:rPr>
              <w:fldChar w:fldCharType="separate"/>
            </w:r>
            <w:r w:rsidR="00695F61">
              <w:rPr>
                <w:noProof/>
                <w:webHidden/>
              </w:rPr>
              <w:t>366</w:t>
            </w:r>
            <w:r>
              <w:rPr>
                <w:noProof/>
                <w:webHidden/>
              </w:rPr>
              <w:fldChar w:fldCharType="end"/>
            </w:r>
          </w:hyperlink>
        </w:p>
        <w:p w14:paraId="508EBD31" w14:textId="21680AEE"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58" w:history="1">
            <w:r w:rsidRPr="008E4FA9">
              <w:rPr>
                <w:rStyle w:val="Hipercze"/>
                <w:rFonts w:ascii="Calibri" w:hAnsi="Calibri"/>
                <w:noProof/>
              </w:rPr>
              <w:t>Działanie FELU.11.06 Ochrona dziedzictwa kulturowego obszarów innych niż miejskie</w:t>
            </w:r>
            <w:r>
              <w:rPr>
                <w:noProof/>
                <w:webHidden/>
              </w:rPr>
              <w:tab/>
            </w:r>
            <w:r>
              <w:rPr>
                <w:noProof/>
                <w:webHidden/>
              </w:rPr>
              <w:fldChar w:fldCharType="begin"/>
            </w:r>
            <w:r>
              <w:rPr>
                <w:noProof/>
                <w:webHidden/>
              </w:rPr>
              <w:instrText xml:space="preserve"> PAGEREF _Toc241668258 \h </w:instrText>
            </w:r>
            <w:r>
              <w:rPr>
                <w:noProof/>
                <w:webHidden/>
              </w:rPr>
            </w:r>
            <w:r>
              <w:rPr>
                <w:noProof/>
                <w:webHidden/>
              </w:rPr>
              <w:fldChar w:fldCharType="separate"/>
            </w:r>
            <w:r w:rsidR="00695F61">
              <w:rPr>
                <w:noProof/>
                <w:webHidden/>
              </w:rPr>
              <w:t>372</w:t>
            </w:r>
            <w:r>
              <w:rPr>
                <w:noProof/>
                <w:webHidden/>
              </w:rPr>
              <w:fldChar w:fldCharType="end"/>
            </w:r>
          </w:hyperlink>
        </w:p>
        <w:p w14:paraId="0EFCDD0A" w14:textId="2C544CD3"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59" w:history="1">
            <w:r w:rsidRPr="008E4FA9">
              <w:rPr>
                <w:rStyle w:val="Hipercze"/>
                <w:rFonts w:ascii="Calibri" w:hAnsi="Calibri"/>
                <w:noProof/>
              </w:rPr>
              <w:t>Priorytet FELU.12 Wsparcie wdrażania Funduszy Europejskich dla Lubelskiego 2021-2027 w ramach EFS+</w:t>
            </w:r>
            <w:r>
              <w:rPr>
                <w:noProof/>
                <w:webHidden/>
              </w:rPr>
              <w:tab/>
            </w:r>
            <w:r>
              <w:rPr>
                <w:noProof/>
                <w:webHidden/>
              </w:rPr>
              <w:fldChar w:fldCharType="begin"/>
            </w:r>
            <w:r>
              <w:rPr>
                <w:noProof/>
                <w:webHidden/>
              </w:rPr>
              <w:instrText xml:space="preserve"> PAGEREF _Toc241668259 \h </w:instrText>
            </w:r>
            <w:r>
              <w:rPr>
                <w:noProof/>
                <w:webHidden/>
              </w:rPr>
            </w:r>
            <w:r>
              <w:rPr>
                <w:noProof/>
                <w:webHidden/>
              </w:rPr>
              <w:fldChar w:fldCharType="separate"/>
            </w:r>
            <w:r w:rsidR="00695F61">
              <w:rPr>
                <w:noProof/>
                <w:webHidden/>
              </w:rPr>
              <w:t>376</w:t>
            </w:r>
            <w:r>
              <w:rPr>
                <w:noProof/>
                <w:webHidden/>
              </w:rPr>
              <w:fldChar w:fldCharType="end"/>
            </w:r>
          </w:hyperlink>
        </w:p>
        <w:p w14:paraId="15B8931D" w14:textId="4DD3EBF3"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60" w:history="1">
            <w:r w:rsidRPr="008E4FA9">
              <w:rPr>
                <w:rStyle w:val="Hipercze"/>
                <w:rFonts w:ascii="Calibri" w:hAnsi="Calibri"/>
                <w:noProof/>
              </w:rPr>
              <w:t>Działanie FELU.12.01 Wsparcie wdrażania Funduszy Europejskich dla Lubelskiego 2021-2027 w ramach EFS+</w:t>
            </w:r>
            <w:r>
              <w:rPr>
                <w:noProof/>
                <w:webHidden/>
              </w:rPr>
              <w:tab/>
            </w:r>
            <w:r>
              <w:rPr>
                <w:noProof/>
                <w:webHidden/>
              </w:rPr>
              <w:fldChar w:fldCharType="begin"/>
            </w:r>
            <w:r>
              <w:rPr>
                <w:noProof/>
                <w:webHidden/>
              </w:rPr>
              <w:instrText xml:space="preserve"> PAGEREF _Toc241668260 \h </w:instrText>
            </w:r>
            <w:r>
              <w:rPr>
                <w:noProof/>
                <w:webHidden/>
              </w:rPr>
            </w:r>
            <w:r>
              <w:rPr>
                <w:noProof/>
                <w:webHidden/>
              </w:rPr>
              <w:fldChar w:fldCharType="separate"/>
            </w:r>
            <w:r w:rsidR="00695F61">
              <w:rPr>
                <w:noProof/>
                <w:webHidden/>
              </w:rPr>
              <w:t>377</w:t>
            </w:r>
            <w:r>
              <w:rPr>
                <w:noProof/>
                <w:webHidden/>
              </w:rPr>
              <w:fldChar w:fldCharType="end"/>
            </w:r>
          </w:hyperlink>
        </w:p>
        <w:p w14:paraId="64F08824" w14:textId="3466DFBD"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61" w:history="1">
            <w:r w:rsidRPr="008E4FA9">
              <w:rPr>
                <w:rStyle w:val="Hipercze"/>
                <w:rFonts w:ascii="Calibri" w:hAnsi="Calibri"/>
                <w:noProof/>
              </w:rPr>
              <w:t>Priorytet FELU.13 Wsparcie wdrażania Funduszy Europejskich dla Lubelskiego 2021-2027 w ramach EFRR</w:t>
            </w:r>
            <w:r>
              <w:rPr>
                <w:noProof/>
                <w:webHidden/>
              </w:rPr>
              <w:tab/>
            </w:r>
            <w:r>
              <w:rPr>
                <w:noProof/>
                <w:webHidden/>
              </w:rPr>
              <w:fldChar w:fldCharType="begin"/>
            </w:r>
            <w:r>
              <w:rPr>
                <w:noProof/>
                <w:webHidden/>
              </w:rPr>
              <w:instrText xml:space="preserve"> PAGEREF _Toc241668261 \h </w:instrText>
            </w:r>
            <w:r>
              <w:rPr>
                <w:noProof/>
                <w:webHidden/>
              </w:rPr>
            </w:r>
            <w:r>
              <w:rPr>
                <w:noProof/>
                <w:webHidden/>
              </w:rPr>
              <w:fldChar w:fldCharType="separate"/>
            </w:r>
            <w:r w:rsidR="00695F61">
              <w:rPr>
                <w:noProof/>
                <w:webHidden/>
              </w:rPr>
              <w:t>380</w:t>
            </w:r>
            <w:r>
              <w:rPr>
                <w:noProof/>
                <w:webHidden/>
              </w:rPr>
              <w:fldChar w:fldCharType="end"/>
            </w:r>
          </w:hyperlink>
        </w:p>
        <w:p w14:paraId="7AA3A74A" w14:textId="0D7559A4"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62" w:history="1">
            <w:r w:rsidRPr="008E4FA9">
              <w:rPr>
                <w:rStyle w:val="Hipercze"/>
                <w:rFonts w:ascii="Calibri" w:hAnsi="Calibri"/>
                <w:noProof/>
              </w:rPr>
              <w:t>Działanie FELU.13.01 Wsparcie wdrażania Funduszy Europejskich dla Lubelskiego 2021-2027 w ramach EFRR</w:t>
            </w:r>
            <w:r>
              <w:rPr>
                <w:noProof/>
                <w:webHidden/>
              </w:rPr>
              <w:tab/>
            </w:r>
            <w:r>
              <w:rPr>
                <w:noProof/>
                <w:webHidden/>
              </w:rPr>
              <w:fldChar w:fldCharType="begin"/>
            </w:r>
            <w:r>
              <w:rPr>
                <w:noProof/>
                <w:webHidden/>
              </w:rPr>
              <w:instrText xml:space="preserve"> PAGEREF _Toc241668262 \h </w:instrText>
            </w:r>
            <w:r>
              <w:rPr>
                <w:noProof/>
                <w:webHidden/>
              </w:rPr>
            </w:r>
            <w:r>
              <w:rPr>
                <w:noProof/>
                <w:webHidden/>
              </w:rPr>
              <w:fldChar w:fldCharType="separate"/>
            </w:r>
            <w:r w:rsidR="00695F61">
              <w:rPr>
                <w:noProof/>
                <w:webHidden/>
              </w:rPr>
              <w:t>380</w:t>
            </w:r>
            <w:r>
              <w:rPr>
                <w:noProof/>
                <w:webHidden/>
              </w:rPr>
              <w:fldChar w:fldCharType="end"/>
            </w:r>
          </w:hyperlink>
        </w:p>
        <w:p w14:paraId="7355B665" w14:textId="1D0C7EF7"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63" w:history="1">
            <w:r w:rsidRPr="008E4FA9">
              <w:rPr>
                <w:rStyle w:val="Hipercze"/>
                <w:rFonts w:ascii="Calibri" w:hAnsi="Calibri"/>
                <w:noProof/>
              </w:rPr>
              <w:t>Priorytet FELU.14 Przemysł obronny</w:t>
            </w:r>
            <w:r>
              <w:rPr>
                <w:noProof/>
                <w:webHidden/>
              </w:rPr>
              <w:tab/>
            </w:r>
            <w:r>
              <w:rPr>
                <w:noProof/>
                <w:webHidden/>
              </w:rPr>
              <w:fldChar w:fldCharType="begin"/>
            </w:r>
            <w:r>
              <w:rPr>
                <w:noProof/>
                <w:webHidden/>
              </w:rPr>
              <w:instrText xml:space="preserve"> PAGEREF _Toc241668263 \h </w:instrText>
            </w:r>
            <w:r>
              <w:rPr>
                <w:noProof/>
                <w:webHidden/>
              </w:rPr>
            </w:r>
            <w:r>
              <w:rPr>
                <w:noProof/>
                <w:webHidden/>
              </w:rPr>
              <w:fldChar w:fldCharType="separate"/>
            </w:r>
            <w:r w:rsidR="00695F61">
              <w:rPr>
                <w:noProof/>
                <w:webHidden/>
              </w:rPr>
              <w:t>383</w:t>
            </w:r>
            <w:r>
              <w:rPr>
                <w:noProof/>
                <w:webHidden/>
              </w:rPr>
              <w:fldChar w:fldCharType="end"/>
            </w:r>
          </w:hyperlink>
        </w:p>
        <w:p w14:paraId="3A432BEA" w14:textId="686ADD2E"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64" w:history="1">
            <w:r w:rsidRPr="008E4FA9">
              <w:rPr>
                <w:rStyle w:val="Hipercze"/>
                <w:rFonts w:ascii="Calibri" w:hAnsi="Calibri"/>
                <w:noProof/>
              </w:rPr>
              <w:t>Działanie FELU.14.01 Wsparcie przedsiębiorstw w sektorze obronnym i bezpieczeństwa</w:t>
            </w:r>
            <w:r>
              <w:rPr>
                <w:noProof/>
                <w:webHidden/>
              </w:rPr>
              <w:tab/>
            </w:r>
            <w:r>
              <w:rPr>
                <w:noProof/>
                <w:webHidden/>
              </w:rPr>
              <w:fldChar w:fldCharType="begin"/>
            </w:r>
            <w:r>
              <w:rPr>
                <w:noProof/>
                <w:webHidden/>
              </w:rPr>
              <w:instrText xml:space="preserve"> PAGEREF _Toc241668264 \h </w:instrText>
            </w:r>
            <w:r>
              <w:rPr>
                <w:noProof/>
                <w:webHidden/>
              </w:rPr>
            </w:r>
            <w:r>
              <w:rPr>
                <w:noProof/>
                <w:webHidden/>
              </w:rPr>
              <w:fldChar w:fldCharType="separate"/>
            </w:r>
            <w:r w:rsidR="00695F61">
              <w:rPr>
                <w:noProof/>
                <w:webHidden/>
              </w:rPr>
              <w:t>384</w:t>
            </w:r>
            <w:r>
              <w:rPr>
                <w:noProof/>
                <w:webHidden/>
              </w:rPr>
              <w:fldChar w:fldCharType="end"/>
            </w:r>
          </w:hyperlink>
        </w:p>
        <w:p w14:paraId="3DF88726" w14:textId="27D6CCC1"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65" w:history="1">
            <w:r w:rsidRPr="008E4FA9">
              <w:rPr>
                <w:rStyle w:val="Hipercze"/>
                <w:rFonts w:ascii="Calibri" w:hAnsi="Calibri"/>
                <w:noProof/>
              </w:rPr>
              <w:t>Priorytet FELU.15 Bezpieczeństwo wodne</w:t>
            </w:r>
            <w:r>
              <w:rPr>
                <w:noProof/>
                <w:webHidden/>
              </w:rPr>
              <w:tab/>
            </w:r>
            <w:r>
              <w:rPr>
                <w:noProof/>
                <w:webHidden/>
              </w:rPr>
              <w:fldChar w:fldCharType="begin"/>
            </w:r>
            <w:r>
              <w:rPr>
                <w:noProof/>
                <w:webHidden/>
              </w:rPr>
              <w:instrText xml:space="preserve"> PAGEREF _Toc241668265 \h </w:instrText>
            </w:r>
            <w:r>
              <w:rPr>
                <w:noProof/>
                <w:webHidden/>
              </w:rPr>
            </w:r>
            <w:r>
              <w:rPr>
                <w:noProof/>
                <w:webHidden/>
              </w:rPr>
              <w:fldChar w:fldCharType="separate"/>
            </w:r>
            <w:r w:rsidR="00695F61">
              <w:rPr>
                <w:noProof/>
                <w:webHidden/>
              </w:rPr>
              <w:t>387</w:t>
            </w:r>
            <w:r>
              <w:rPr>
                <w:noProof/>
                <w:webHidden/>
              </w:rPr>
              <w:fldChar w:fldCharType="end"/>
            </w:r>
          </w:hyperlink>
        </w:p>
        <w:p w14:paraId="0265A02A" w14:textId="38159668"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66" w:history="1">
            <w:r w:rsidRPr="008E4FA9">
              <w:rPr>
                <w:rStyle w:val="Hipercze"/>
                <w:rFonts w:ascii="Calibri" w:hAnsi="Calibri"/>
                <w:noProof/>
              </w:rPr>
              <w:t>Działanie FELU.15.01 Bezpieczna i odporna infrastruktura wodno-kanalizacyjna</w:t>
            </w:r>
            <w:r>
              <w:rPr>
                <w:noProof/>
                <w:webHidden/>
              </w:rPr>
              <w:tab/>
            </w:r>
            <w:r>
              <w:rPr>
                <w:noProof/>
                <w:webHidden/>
              </w:rPr>
              <w:fldChar w:fldCharType="begin"/>
            </w:r>
            <w:r>
              <w:rPr>
                <w:noProof/>
                <w:webHidden/>
              </w:rPr>
              <w:instrText xml:space="preserve"> PAGEREF _Toc241668266 \h </w:instrText>
            </w:r>
            <w:r>
              <w:rPr>
                <w:noProof/>
                <w:webHidden/>
              </w:rPr>
            </w:r>
            <w:r>
              <w:rPr>
                <w:noProof/>
                <w:webHidden/>
              </w:rPr>
              <w:fldChar w:fldCharType="separate"/>
            </w:r>
            <w:r w:rsidR="00695F61">
              <w:rPr>
                <w:noProof/>
                <w:webHidden/>
              </w:rPr>
              <w:t>388</w:t>
            </w:r>
            <w:r>
              <w:rPr>
                <w:noProof/>
                <w:webHidden/>
              </w:rPr>
              <w:fldChar w:fldCharType="end"/>
            </w:r>
          </w:hyperlink>
        </w:p>
        <w:p w14:paraId="0FBE1931" w14:textId="0E33CEFE"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67" w:history="1">
            <w:r w:rsidRPr="008E4FA9">
              <w:rPr>
                <w:rStyle w:val="Hipercze"/>
                <w:rFonts w:ascii="Calibri" w:hAnsi="Calibri"/>
                <w:noProof/>
              </w:rPr>
              <w:t>Priorytet FELU.16 Odporna infrastruktura krytyczna</w:t>
            </w:r>
            <w:r>
              <w:rPr>
                <w:noProof/>
                <w:webHidden/>
              </w:rPr>
              <w:tab/>
            </w:r>
            <w:r>
              <w:rPr>
                <w:noProof/>
                <w:webHidden/>
              </w:rPr>
              <w:fldChar w:fldCharType="begin"/>
            </w:r>
            <w:r>
              <w:rPr>
                <w:noProof/>
                <w:webHidden/>
              </w:rPr>
              <w:instrText xml:space="preserve"> PAGEREF _Toc241668267 \h </w:instrText>
            </w:r>
            <w:r>
              <w:rPr>
                <w:noProof/>
                <w:webHidden/>
              </w:rPr>
            </w:r>
            <w:r>
              <w:rPr>
                <w:noProof/>
                <w:webHidden/>
              </w:rPr>
              <w:fldChar w:fldCharType="separate"/>
            </w:r>
            <w:r w:rsidR="00695F61">
              <w:rPr>
                <w:noProof/>
                <w:webHidden/>
              </w:rPr>
              <w:t>391</w:t>
            </w:r>
            <w:r>
              <w:rPr>
                <w:noProof/>
                <w:webHidden/>
              </w:rPr>
              <w:fldChar w:fldCharType="end"/>
            </w:r>
          </w:hyperlink>
        </w:p>
        <w:p w14:paraId="0AD92D8B" w14:textId="1BCDFDC1"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68" w:history="1">
            <w:r w:rsidRPr="008E4FA9">
              <w:rPr>
                <w:rStyle w:val="Hipercze"/>
                <w:rFonts w:ascii="Calibri" w:hAnsi="Calibri"/>
                <w:noProof/>
              </w:rPr>
              <w:t>Działanie FELU.16.01 Wsparcie odpornej infrastruktury ochrony zdrowia</w:t>
            </w:r>
            <w:r>
              <w:rPr>
                <w:noProof/>
                <w:webHidden/>
              </w:rPr>
              <w:tab/>
            </w:r>
            <w:r>
              <w:rPr>
                <w:noProof/>
                <w:webHidden/>
              </w:rPr>
              <w:fldChar w:fldCharType="begin"/>
            </w:r>
            <w:r>
              <w:rPr>
                <w:noProof/>
                <w:webHidden/>
              </w:rPr>
              <w:instrText xml:space="preserve"> PAGEREF _Toc241668268 \h </w:instrText>
            </w:r>
            <w:r>
              <w:rPr>
                <w:noProof/>
                <w:webHidden/>
              </w:rPr>
            </w:r>
            <w:r>
              <w:rPr>
                <w:noProof/>
                <w:webHidden/>
              </w:rPr>
              <w:fldChar w:fldCharType="separate"/>
            </w:r>
            <w:r w:rsidR="00695F61">
              <w:rPr>
                <w:noProof/>
                <w:webHidden/>
              </w:rPr>
              <w:t>392</w:t>
            </w:r>
            <w:r>
              <w:rPr>
                <w:noProof/>
                <w:webHidden/>
              </w:rPr>
              <w:fldChar w:fldCharType="end"/>
            </w:r>
          </w:hyperlink>
        </w:p>
        <w:p w14:paraId="48B4F594" w14:textId="5494412E"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69" w:history="1">
            <w:r w:rsidRPr="008E4FA9">
              <w:rPr>
                <w:rStyle w:val="Hipercze"/>
                <w:rFonts w:ascii="Calibri" w:hAnsi="Calibri"/>
                <w:noProof/>
              </w:rPr>
              <w:t>Priorytet FELU.17 Obronność i bezpieczeństwo EFS+</w:t>
            </w:r>
            <w:r>
              <w:rPr>
                <w:noProof/>
                <w:webHidden/>
              </w:rPr>
              <w:tab/>
            </w:r>
            <w:r>
              <w:rPr>
                <w:noProof/>
                <w:webHidden/>
              </w:rPr>
              <w:fldChar w:fldCharType="begin"/>
            </w:r>
            <w:r>
              <w:rPr>
                <w:noProof/>
                <w:webHidden/>
              </w:rPr>
              <w:instrText xml:space="preserve"> PAGEREF _Toc241668269 \h </w:instrText>
            </w:r>
            <w:r>
              <w:rPr>
                <w:noProof/>
                <w:webHidden/>
              </w:rPr>
            </w:r>
            <w:r>
              <w:rPr>
                <w:noProof/>
                <w:webHidden/>
              </w:rPr>
              <w:fldChar w:fldCharType="separate"/>
            </w:r>
            <w:r w:rsidR="00695F61">
              <w:rPr>
                <w:noProof/>
                <w:webHidden/>
              </w:rPr>
              <w:t>395</w:t>
            </w:r>
            <w:r>
              <w:rPr>
                <w:noProof/>
                <w:webHidden/>
              </w:rPr>
              <w:fldChar w:fldCharType="end"/>
            </w:r>
          </w:hyperlink>
        </w:p>
        <w:p w14:paraId="613DFE90" w14:textId="3A84464B"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70" w:history="1">
            <w:r w:rsidRPr="008E4FA9">
              <w:rPr>
                <w:rStyle w:val="Hipercze"/>
                <w:rFonts w:ascii="Calibri" w:hAnsi="Calibri"/>
                <w:noProof/>
              </w:rPr>
              <w:t>Działanie FELU.17.01 Aktywizacja zawodowa w zakresie obronności i bezpieczeństwa</w:t>
            </w:r>
            <w:r>
              <w:rPr>
                <w:noProof/>
                <w:webHidden/>
              </w:rPr>
              <w:tab/>
            </w:r>
            <w:r>
              <w:rPr>
                <w:noProof/>
                <w:webHidden/>
              </w:rPr>
              <w:fldChar w:fldCharType="begin"/>
            </w:r>
            <w:r>
              <w:rPr>
                <w:noProof/>
                <w:webHidden/>
              </w:rPr>
              <w:instrText xml:space="preserve"> PAGEREF _Toc241668270 \h </w:instrText>
            </w:r>
            <w:r>
              <w:rPr>
                <w:noProof/>
                <w:webHidden/>
              </w:rPr>
            </w:r>
            <w:r>
              <w:rPr>
                <w:noProof/>
                <w:webHidden/>
              </w:rPr>
              <w:fldChar w:fldCharType="separate"/>
            </w:r>
            <w:r w:rsidR="00695F61">
              <w:rPr>
                <w:noProof/>
                <w:webHidden/>
              </w:rPr>
              <w:t>396</w:t>
            </w:r>
            <w:r>
              <w:rPr>
                <w:noProof/>
                <w:webHidden/>
              </w:rPr>
              <w:fldChar w:fldCharType="end"/>
            </w:r>
          </w:hyperlink>
        </w:p>
        <w:p w14:paraId="225BC550" w14:textId="57B28675"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71" w:history="1">
            <w:r w:rsidRPr="008E4FA9">
              <w:rPr>
                <w:rStyle w:val="Hipercze"/>
                <w:rFonts w:ascii="Calibri" w:hAnsi="Calibri"/>
                <w:noProof/>
              </w:rPr>
              <w:t>Działanie FELU.17.02 Adaptacyjność pracowników do zmian na potrzeby przemysłu obronnego i bezpieczeństwa</w:t>
            </w:r>
            <w:r>
              <w:rPr>
                <w:noProof/>
                <w:webHidden/>
              </w:rPr>
              <w:tab/>
            </w:r>
            <w:r>
              <w:rPr>
                <w:noProof/>
                <w:webHidden/>
              </w:rPr>
              <w:fldChar w:fldCharType="begin"/>
            </w:r>
            <w:r>
              <w:rPr>
                <w:noProof/>
                <w:webHidden/>
              </w:rPr>
              <w:instrText xml:space="preserve"> PAGEREF _Toc241668271 \h </w:instrText>
            </w:r>
            <w:r>
              <w:rPr>
                <w:noProof/>
                <w:webHidden/>
              </w:rPr>
            </w:r>
            <w:r>
              <w:rPr>
                <w:noProof/>
                <w:webHidden/>
              </w:rPr>
              <w:fldChar w:fldCharType="separate"/>
            </w:r>
            <w:r w:rsidR="00695F61">
              <w:rPr>
                <w:noProof/>
                <w:webHidden/>
              </w:rPr>
              <w:t>400</w:t>
            </w:r>
            <w:r>
              <w:rPr>
                <w:noProof/>
                <w:webHidden/>
              </w:rPr>
              <w:fldChar w:fldCharType="end"/>
            </w:r>
          </w:hyperlink>
        </w:p>
        <w:p w14:paraId="35AD503A" w14:textId="1E241F77"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72" w:history="1">
            <w:r w:rsidRPr="008E4FA9">
              <w:rPr>
                <w:rStyle w:val="Hipercze"/>
                <w:rFonts w:ascii="Calibri" w:hAnsi="Calibri"/>
                <w:noProof/>
              </w:rPr>
              <w:t>Działanie FELU.17.03 Obronność i bezpieczeństwo na rynku pracy</w:t>
            </w:r>
            <w:r>
              <w:rPr>
                <w:noProof/>
                <w:webHidden/>
              </w:rPr>
              <w:tab/>
            </w:r>
            <w:r>
              <w:rPr>
                <w:noProof/>
                <w:webHidden/>
              </w:rPr>
              <w:fldChar w:fldCharType="begin"/>
            </w:r>
            <w:r>
              <w:rPr>
                <w:noProof/>
                <w:webHidden/>
              </w:rPr>
              <w:instrText xml:space="preserve"> PAGEREF _Toc241668272 \h </w:instrText>
            </w:r>
            <w:r>
              <w:rPr>
                <w:noProof/>
                <w:webHidden/>
              </w:rPr>
            </w:r>
            <w:r>
              <w:rPr>
                <w:noProof/>
                <w:webHidden/>
              </w:rPr>
              <w:fldChar w:fldCharType="separate"/>
            </w:r>
            <w:r w:rsidR="00695F61">
              <w:rPr>
                <w:noProof/>
                <w:webHidden/>
              </w:rPr>
              <w:t>403</w:t>
            </w:r>
            <w:r>
              <w:rPr>
                <w:noProof/>
                <w:webHidden/>
              </w:rPr>
              <w:fldChar w:fldCharType="end"/>
            </w:r>
          </w:hyperlink>
        </w:p>
        <w:p w14:paraId="54EB8375" w14:textId="757A9BBB"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73" w:history="1">
            <w:r w:rsidRPr="008E4FA9">
              <w:rPr>
                <w:rStyle w:val="Hipercze"/>
                <w:rFonts w:ascii="Calibri" w:hAnsi="Calibri"/>
                <w:noProof/>
              </w:rPr>
              <w:t>Działanie FELU.17.04 Edukacja na rzecz obronności i bezpieczeństwa</w:t>
            </w:r>
            <w:r>
              <w:rPr>
                <w:noProof/>
                <w:webHidden/>
              </w:rPr>
              <w:tab/>
            </w:r>
            <w:r>
              <w:rPr>
                <w:noProof/>
                <w:webHidden/>
              </w:rPr>
              <w:fldChar w:fldCharType="begin"/>
            </w:r>
            <w:r>
              <w:rPr>
                <w:noProof/>
                <w:webHidden/>
              </w:rPr>
              <w:instrText xml:space="preserve"> PAGEREF _Toc241668273 \h </w:instrText>
            </w:r>
            <w:r>
              <w:rPr>
                <w:noProof/>
                <w:webHidden/>
              </w:rPr>
            </w:r>
            <w:r>
              <w:rPr>
                <w:noProof/>
                <w:webHidden/>
              </w:rPr>
              <w:fldChar w:fldCharType="separate"/>
            </w:r>
            <w:r w:rsidR="00695F61">
              <w:rPr>
                <w:noProof/>
                <w:webHidden/>
              </w:rPr>
              <w:t>407</w:t>
            </w:r>
            <w:r>
              <w:rPr>
                <w:noProof/>
                <w:webHidden/>
              </w:rPr>
              <w:fldChar w:fldCharType="end"/>
            </w:r>
          </w:hyperlink>
        </w:p>
        <w:p w14:paraId="6A1EF6CB" w14:textId="75707E64"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74" w:history="1">
            <w:r w:rsidRPr="008E4FA9">
              <w:rPr>
                <w:rStyle w:val="Hipercze"/>
                <w:rFonts w:ascii="Calibri" w:hAnsi="Calibri"/>
                <w:noProof/>
              </w:rPr>
              <w:t>Działanie FELU.17.05 Edukacja osób dorosłych w obszarze obronności i bezpieczeństwa</w:t>
            </w:r>
            <w:r>
              <w:rPr>
                <w:noProof/>
                <w:webHidden/>
              </w:rPr>
              <w:tab/>
            </w:r>
            <w:r>
              <w:rPr>
                <w:noProof/>
                <w:webHidden/>
              </w:rPr>
              <w:fldChar w:fldCharType="begin"/>
            </w:r>
            <w:r>
              <w:rPr>
                <w:noProof/>
                <w:webHidden/>
              </w:rPr>
              <w:instrText xml:space="preserve"> PAGEREF _Toc241668274 \h </w:instrText>
            </w:r>
            <w:r>
              <w:rPr>
                <w:noProof/>
                <w:webHidden/>
              </w:rPr>
            </w:r>
            <w:r>
              <w:rPr>
                <w:noProof/>
                <w:webHidden/>
              </w:rPr>
              <w:fldChar w:fldCharType="separate"/>
            </w:r>
            <w:r w:rsidR="00695F61">
              <w:rPr>
                <w:noProof/>
                <w:webHidden/>
              </w:rPr>
              <w:t>412</w:t>
            </w:r>
            <w:r>
              <w:rPr>
                <w:noProof/>
                <w:webHidden/>
              </w:rPr>
              <w:fldChar w:fldCharType="end"/>
            </w:r>
          </w:hyperlink>
        </w:p>
        <w:p w14:paraId="40EEBB0A" w14:textId="5F8E32D7" w:rsidR="0088375F" w:rsidRDefault="0088375F" w:rsidP="00922FFC">
          <w:pPr>
            <w:pStyle w:val="Spistreci2"/>
            <w:tabs>
              <w:tab w:val="right" w:leader="dot" w:pos="9396"/>
            </w:tabs>
            <w:spacing w:line="240" w:lineRule="auto"/>
            <w:rPr>
              <w:rFonts w:eastAsiaTheme="minorEastAsia" w:cstheme="minorBidi"/>
              <w:noProof/>
              <w:kern w:val="2"/>
              <w:sz w:val="24"/>
              <w:szCs w:val="24"/>
              <w14:ligatures w14:val="standardContextual"/>
            </w:rPr>
          </w:pPr>
          <w:hyperlink w:anchor="_Toc241668275" w:history="1">
            <w:r w:rsidRPr="008E4FA9">
              <w:rPr>
                <w:rStyle w:val="Hipercze"/>
                <w:rFonts w:ascii="Calibri" w:hAnsi="Calibri"/>
                <w:noProof/>
              </w:rPr>
              <w:t>Priorytet FELU.18 Dekarbonizacja EFS+</w:t>
            </w:r>
            <w:r>
              <w:rPr>
                <w:noProof/>
                <w:webHidden/>
              </w:rPr>
              <w:tab/>
            </w:r>
            <w:r>
              <w:rPr>
                <w:noProof/>
                <w:webHidden/>
              </w:rPr>
              <w:fldChar w:fldCharType="begin"/>
            </w:r>
            <w:r>
              <w:rPr>
                <w:noProof/>
                <w:webHidden/>
              </w:rPr>
              <w:instrText xml:space="preserve"> PAGEREF _Toc241668275 \h </w:instrText>
            </w:r>
            <w:r>
              <w:rPr>
                <w:noProof/>
                <w:webHidden/>
              </w:rPr>
            </w:r>
            <w:r>
              <w:rPr>
                <w:noProof/>
                <w:webHidden/>
              </w:rPr>
              <w:fldChar w:fldCharType="separate"/>
            </w:r>
            <w:r w:rsidR="00695F61">
              <w:rPr>
                <w:noProof/>
                <w:webHidden/>
              </w:rPr>
              <w:t>416</w:t>
            </w:r>
            <w:r>
              <w:rPr>
                <w:noProof/>
                <w:webHidden/>
              </w:rPr>
              <w:fldChar w:fldCharType="end"/>
            </w:r>
          </w:hyperlink>
        </w:p>
        <w:p w14:paraId="218A3AB0" w14:textId="7FCFC918"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76" w:history="1">
            <w:r w:rsidRPr="008E4FA9">
              <w:rPr>
                <w:rStyle w:val="Hipercze"/>
                <w:rFonts w:ascii="Calibri" w:hAnsi="Calibri"/>
                <w:noProof/>
              </w:rPr>
              <w:t>Działanie FELU.18.01 Aktywizacja zawodowa w sektorach związanych z dekarbonizacją</w:t>
            </w:r>
            <w:r>
              <w:rPr>
                <w:noProof/>
                <w:webHidden/>
              </w:rPr>
              <w:tab/>
            </w:r>
            <w:r>
              <w:rPr>
                <w:noProof/>
                <w:webHidden/>
              </w:rPr>
              <w:fldChar w:fldCharType="begin"/>
            </w:r>
            <w:r>
              <w:rPr>
                <w:noProof/>
                <w:webHidden/>
              </w:rPr>
              <w:instrText xml:space="preserve"> PAGEREF _Toc241668276 \h </w:instrText>
            </w:r>
            <w:r>
              <w:rPr>
                <w:noProof/>
                <w:webHidden/>
              </w:rPr>
            </w:r>
            <w:r>
              <w:rPr>
                <w:noProof/>
                <w:webHidden/>
              </w:rPr>
              <w:fldChar w:fldCharType="separate"/>
            </w:r>
            <w:r w:rsidR="00695F61">
              <w:rPr>
                <w:noProof/>
                <w:webHidden/>
              </w:rPr>
              <w:t>416</w:t>
            </w:r>
            <w:r>
              <w:rPr>
                <w:noProof/>
                <w:webHidden/>
              </w:rPr>
              <w:fldChar w:fldCharType="end"/>
            </w:r>
          </w:hyperlink>
        </w:p>
        <w:p w14:paraId="4EFA336D" w14:textId="1CE4546B" w:rsidR="0088375F" w:rsidRDefault="0088375F" w:rsidP="00922FFC">
          <w:pPr>
            <w:pStyle w:val="Spistreci3"/>
            <w:tabs>
              <w:tab w:val="right" w:leader="dot" w:pos="9396"/>
            </w:tabs>
            <w:spacing w:line="240" w:lineRule="auto"/>
            <w:rPr>
              <w:rFonts w:eastAsiaTheme="minorEastAsia" w:cstheme="minorBidi"/>
              <w:noProof/>
              <w:kern w:val="2"/>
              <w:sz w:val="24"/>
              <w:szCs w:val="24"/>
              <w14:ligatures w14:val="standardContextual"/>
            </w:rPr>
          </w:pPr>
          <w:hyperlink w:anchor="_Toc241668277" w:history="1">
            <w:r w:rsidRPr="008E4FA9">
              <w:rPr>
                <w:rStyle w:val="Hipercze"/>
                <w:rFonts w:ascii="Calibri" w:hAnsi="Calibri"/>
                <w:noProof/>
              </w:rPr>
              <w:t>Działanie FELU.18.02 Rynek pracy na rzecz dekarbonizacji</w:t>
            </w:r>
            <w:r>
              <w:rPr>
                <w:noProof/>
                <w:webHidden/>
              </w:rPr>
              <w:tab/>
            </w:r>
            <w:r>
              <w:rPr>
                <w:noProof/>
                <w:webHidden/>
              </w:rPr>
              <w:fldChar w:fldCharType="begin"/>
            </w:r>
            <w:r>
              <w:rPr>
                <w:noProof/>
                <w:webHidden/>
              </w:rPr>
              <w:instrText xml:space="preserve"> PAGEREF _Toc241668277 \h </w:instrText>
            </w:r>
            <w:r>
              <w:rPr>
                <w:noProof/>
                <w:webHidden/>
              </w:rPr>
            </w:r>
            <w:r>
              <w:rPr>
                <w:noProof/>
                <w:webHidden/>
              </w:rPr>
              <w:fldChar w:fldCharType="separate"/>
            </w:r>
            <w:r w:rsidR="00695F61">
              <w:rPr>
                <w:noProof/>
                <w:webHidden/>
              </w:rPr>
              <w:t>420</w:t>
            </w:r>
            <w:r>
              <w:rPr>
                <w:noProof/>
                <w:webHidden/>
              </w:rPr>
              <w:fldChar w:fldCharType="end"/>
            </w:r>
          </w:hyperlink>
        </w:p>
        <w:p w14:paraId="68C361C8" w14:textId="79B596FE" w:rsidR="0088375F" w:rsidRDefault="0088375F" w:rsidP="00922FFC">
          <w:pPr>
            <w:spacing w:line="240" w:lineRule="auto"/>
          </w:pPr>
          <w:r>
            <w:rPr>
              <w:b/>
              <w:bCs/>
            </w:rPr>
            <w:fldChar w:fldCharType="end"/>
          </w:r>
        </w:p>
      </w:sdtContent>
    </w:sdt>
    <w:p w14:paraId="240F1CC8" w14:textId="77777777" w:rsidR="003A0762" w:rsidRDefault="003A0762">
      <w:pPr>
        <w:rPr>
          <w:sz w:val="28"/>
          <w:highlight w:val="magenta"/>
        </w:rPr>
      </w:pPr>
    </w:p>
    <w:p w14:paraId="240F1CC9" w14:textId="77777777" w:rsidR="003A0762" w:rsidRDefault="00ED5FA8">
      <w:pPr>
        <w:rPr>
          <w:b/>
          <w:i/>
          <w:sz w:val="44"/>
          <w:highlight w:val="magenta"/>
        </w:rPr>
      </w:pPr>
      <w:r>
        <w:br w:type="page"/>
      </w:r>
    </w:p>
    <w:p w14:paraId="240F1CCA" w14:textId="77777777" w:rsidR="003A0762" w:rsidRDefault="00ED5FA8">
      <w:pPr>
        <w:pStyle w:val="Nagwek1"/>
        <w:rPr>
          <w:rFonts w:ascii="Calibri" w:hAnsi="Calibri" w:cs="Calibri"/>
        </w:rPr>
      </w:pPr>
      <w:bookmarkStart w:id="0" w:name="_Toc76643858"/>
      <w:bookmarkStart w:id="1" w:name="_Toc241668165"/>
      <w:r>
        <w:rPr>
          <w:rFonts w:ascii="Calibri" w:hAnsi="Calibri" w:cs="Calibri"/>
        </w:rPr>
        <w:lastRenderedPageBreak/>
        <w:t>I Informacje na temat Priorytetów i Działań</w:t>
      </w:r>
      <w:bookmarkEnd w:id="0"/>
      <w:bookmarkEnd w:id="1"/>
    </w:p>
    <w:p w14:paraId="240F1CCB" w14:textId="77777777" w:rsidR="003A0762" w:rsidRDefault="003A0762">
      <w:pPr>
        <w:rPr>
          <w:rFonts w:ascii="Calibri" w:hAnsi="Calibri"/>
        </w:rPr>
      </w:pPr>
    </w:p>
    <w:p w14:paraId="240F1CCC" w14:textId="77777777" w:rsidR="003A0762" w:rsidRDefault="003A0762">
      <w:pPr>
        <w:rPr>
          <w:rFonts w:ascii="Calibri" w:hAnsi="Calibri"/>
        </w:rPr>
      </w:pPr>
    </w:p>
    <w:p w14:paraId="240F1C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b/>
          <w:i/>
          <w:sz w:val="28"/>
          <w:highlight w:val="magenta"/>
        </w:rPr>
      </w:pPr>
      <w:r>
        <w:rPr>
          <w:b/>
          <w:sz w:val="28"/>
        </w:rPr>
        <w:t>Kod i nazwa priorytetu</w:t>
      </w:r>
    </w:p>
    <w:p w14:paraId="240F1CCE"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2" w:name="_Toc241668166"/>
      <w:r>
        <w:rPr>
          <w:rFonts w:ascii="Calibri" w:hAnsi="Calibri" w:cs="Calibri"/>
          <w:i w:val="0"/>
          <w:sz w:val="32"/>
        </w:rPr>
        <w:t>Priorytet FELU.01 Badania naukowe i innowacje</w:t>
      </w:r>
      <w:bookmarkEnd w:id="2"/>
    </w:p>
    <w:p w14:paraId="240F1C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1C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1C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1C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1C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1C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CP1 - Bardziej konkurencyjna i inteligentna Europa dzięki wspieraniu innowacyjnej i inteligentnej transformacji gospodarczej oraz regionalnej łączności cyfrowej</w:t>
      </w:r>
    </w:p>
    <w:p w14:paraId="240F1C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1C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1C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1C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101 168 068,00</w:t>
      </w:r>
    </w:p>
    <w:p w14:paraId="240F1C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1C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96 109 664,00</w:t>
      </w:r>
    </w:p>
    <w:p w14:paraId="240F1C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1C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1C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CDE"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 w:name="_Toc241668167"/>
      <w:r>
        <w:rPr>
          <w:rFonts w:ascii="Calibri" w:hAnsi="Calibri" w:cs="Calibri"/>
          <w:sz w:val="32"/>
        </w:rPr>
        <w:t>Działanie FELU.01.01 Regionalna infrastruktura badawczo-rozwojowa</w:t>
      </w:r>
      <w:bookmarkEnd w:id="3"/>
    </w:p>
    <w:p w14:paraId="240F1C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C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 - Rozwijanie i wzmacnianie zdolności badawczych i innowacyjnych oraz wykorzystywanie zaawansowanych technologii</w:t>
      </w:r>
    </w:p>
    <w:p w14:paraId="240F1C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C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12 248 861,00</w:t>
      </w:r>
    </w:p>
    <w:p w14:paraId="240F1C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Wysokość alokacji UE (EUR)</w:t>
      </w:r>
    </w:p>
    <w:p w14:paraId="240F1C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11 636 418,00</w:t>
      </w:r>
    </w:p>
    <w:p w14:paraId="240F1C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C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004 - Inwestycje w środki trwałe, w tym infrastrukturę badawczą, w publicznych organizacjach badawczych i instytucjach szkolnictwa wyższego bezpośrednio związane z działaniami badawczymi i innowacyjnymi, 008 - Inwestycje w wartości niematerialne i prawne w publicznych organizacjach badawczych i instytucjach szkolnictwa wyższego bezpośrednio związane z działaniami badawczymi i innowacyjnymi</w:t>
      </w:r>
    </w:p>
    <w:p w14:paraId="240F1C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C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Rozwój infrastruktury B+R organizacji badawczych prowadzących działalność gospodarczą (m.in. zakup aparatury i urządzeń laboratoryjnych oraz wartości niematerialnych i prawnych, na bazie których planowane jest prowadzenie działalności B+R na rzecz przedsiębiorstw oraz usługi szkoleniowe w zakresie wykorzystania nabytej infrastruktury).</w:t>
      </w:r>
      <w:r>
        <w:br/>
        <w:t>2.</w:t>
      </w:r>
      <w:r>
        <w:tab/>
        <w:t>Wsparcie rozwoju kompetencji osób zarządzających infrastrukturą B+R w celu podniesienia poziomu jej komercyjnego wykorzystania jako element projektów.</w:t>
      </w:r>
      <w:r>
        <w:br/>
        <w:t>Kluczowe warunki realizacji projektów:</w:t>
      </w:r>
      <w:r>
        <w:br/>
        <w:t>1.</w:t>
      </w:r>
      <w:r>
        <w:tab/>
        <w:t>Szczegółowe zasady kwalifikowalności wydatków określone zostaną w Regulaminie wyboru projektów.</w:t>
      </w:r>
      <w:r>
        <w:br/>
        <w:t>2.</w:t>
      </w:r>
      <w:r>
        <w:tab/>
        <w:t>W ramach Działania 1.1 możliwe będzie wsparcie przedsięwzięć z zakresu infrastruktury B+R, spełniających następujące warunki:</w:t>
      </w:r>
      <w:r>
        <w:br/>
        <w:t>a)</w:t>
      </w:r>
      <w:r>
        <w:tab/>
        <w:t>Projekt dotyczący publicznej infrastruktury badawczej może być wspierany tylko jeśli jest zgodny z zapisami Umowy Partnerstwa, tj. służy realizacji agendy badawczej, której zakres jest zgodny z regionalną inteligentną specjalizacją i został zaopiniowany przez ministra właściwego do spraw rozwoju regionalnego oraz ministra właściwego do spraw szkolnictwa wyższego i nauki na warunkach i w trybie określonym w Kontrakcie Programowym dla województwa lubelskiego.</w:t>
      </w:r>
      <w:r>
        <w:br/>
        <w:t>b)</w:t>
      </w:r>
      <w:r>
        <w:tab/>
        <w:t>Zakup aparatury specjalistycznej niezbędnej do prowadzenia prac badawczo - rozwojowych uzupełniającej w stosunku do posiadanych zasobów możliwy będzie wyłącznie jako element kompleksowego wsparcia.</w:t>
      </w:r>
      <w:r>
        <w:br/>
        <w:t>c)</w:t>
      </w:r>
      <w:r>
        <w:tab/>
        <w:t>W odniesieniu do publicznej infrastruktury badawczej przewiduje się możliwość finansowania przedsięwzięć dotyczących infrastruktury, która będzie wykorzystywana zarówno do działalności gospodarczej, jak i niegospodarczej.</w:t>
      </w:r>
      <w:r>
        <w:br/>
        <w:t>d)</w:t>
      </w:r>
      <w:r>
        <w:tab/>
        <w:t>Wnioskodawca powinien określić strukturę wykorzystania infrastruktury na cele gospodarcze i niegospodarcze, i na tej podstawie określić jaka część projektu ma charakter gospodarczy. W przypadku, gdy ta sama infrastruktura wykorzystywana jest zarówno do działalności gospodarczej, jak i niegospodarczej, zastosowanie ma mechanizm monitorowania i wycofania, o którym mowa w § 12 ust. 5 Rozporządzenia Ministra Funduszy i Polityki Regionalnej z dnia 29 listopada 2022 r. w sprawie udzielania pomocy inwestycyjnej na infrastrukturę badawczą w ramach regionalnych programów na lata 2021–</w:t>
      </w:r>
      <w:r>
        <w:lastRenderedPageBreak/>
        <w:t xml:space="preserve">2027. </w:t>
      </w:r>
      <w:r>
        <w:br/>
        <w:t>e)</w:t>
      </w:r>
      <w:r>
        <w:tab/>
        <w:t>Powstała w wyniku przedsięwzięcia infrastruktura B+R będzie dostępna dla podmiotów/osób spoza jednostki otrzymującej wsparcie na przejrzystych i niedyskryminacyjnych warunkach.</w:t>
      </w:r>
      <w:r>
        <w:br/>
        <w:t>f)</w:t>
      </w:r>
      <w:r>
        <w:tab/>
        <w:t>W ramach Działania zakłada się wsparcie usług szkoleniowych w zakresie nabytej infrastruktury oraz wsparcie rozwoju kompetencji osób zarządzających infrastrukturą B+R w celu podniesienia poziomu jej komercyjnego wykorzystania jako element projektów. Wartość niniejszych zadań nie może przekroczyć 15% współfinansowania unijnego projektu. Komponent rozwoju kompetencji musi stanowić obligatoryjny element projektu.</w:t>
      </w:r>
      <w:r>
        <w:br/>
        <w:t>3.</w:t>
      </w:r>
      <w:r>
        <w:tab/>
        <w:t>Preferowane będą projekty realizowane w kooperacji i uzupełniające istniejące zasoby oraz projekty współfinansowane ze źródeł prywatnych.</w:t>
      </w:r>
      <w:r>
        <w:br/>
        <w:t>4.</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5.</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6.</w:t>
      </w:r>
      <w:r>
        <w:tab/>
        <w:t>Wsparcie dla projektu powinno wpisywać się w Agendę Polityczną Europejskiej Przestrzeni Badawczej (ERA Policy Agenda), w szczególności w obszary dotyczące mobilności, współpracy międzynarodowej i doskonałości w nauce, zielonej transformacji, zwiększenia dostępności i jakości infrastruktury badawczej, synergii Polityki Spójności z Horyzontem Europa.</w:t>
      </w:r>
      <w:r>
        <w:br/>
        <w:t>7.</w:t>
      </w:r>
      <w:r>
        <w:tab/>
        <w:t>Prace B+R zaplanowane do realizacji przy wykorzystaniu wspartej infrastruktury będą obejmować badania przemysłowe i eksperymentalne prace rozwojowe zgodnie z definicją zawartą w art. 2 pkt. 85 i 86 Rozporządzenia Komisji (UE) Nr 651/2014 (dopuszcza się wsparcie badań podstawowych, o ile są niezbędne do realizacji badań przemysłowych czy eksperymentalnych prac rozwojowych i stanowią jedynie niewielki/marginalny i uzupełniający zakres wykorzystania infrastruktury. Wspierana infrastruktura może być wykorzystywana do badań podstawowych, o ile to wykorzystanie nie przekroczy 5% wydajności wspieranej infrastruktury).</w:t>
      </w:r>
    </w:p>
    <w:p w14:paraId="240F1C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C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C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C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C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C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minimis (Dz. Urz. UE L z </w:t>
      </w:r>
      <w:r>
        <w:lastRenderedPageBreak/>
        <w:t>15.12.2023), Rozporządzenie Komisji (UE) nr 651/2014 z dnia 17 czerwca 2014 r. uznające niektóre rodzaje pomocy za zgodne z rynkiem wewnętrznym w zastosowaniu art. 107 i 108 Traktatu (Dz. Urz. UE L 187 z 26.06.2014, str. 1, z późn. zm.)</w:t>
      </w:r>
    </w:p>
    <w:p w14:paraId="240F1C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C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 Rozporządzenie Ministra Funduszy i Polityki Regionalnej z dnia 28 lipca 2023 r. w sprawie udzielania pomocy szkoleniowej w zakresie celu polityki CP1 oraz celu szczegółowego Funduszu na rzecz Sprawiedliwej Transformacji w ramach regionalnych programów na lata 2021–2027 (Dz.U. 2023 poz. 1649), Rozporządzenie Ministra Funduszy i Polityki Regionalnej z dnia 29 listopada 2022 r. w sprawie udzielania pomocy inwestycyjnej na infrastrukturę badawczą w ramach regionalnych programów na lata 2021–2027 (Dz.U. 2022 poz. 2498)</w:t>
      </w:r>
    </w:p>
    <w:p w14:paraId="240F1C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C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40F1C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C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C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C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1C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C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1C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1C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500 000,01</w:t>
      </w:r>
    </w:p>
    <w:p w14:paraId="240F1C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C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1C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C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1C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D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w:t>
      </w:r>
    </w:p>
    <w:p w14:paraId="240F1D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D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przedsiębiorstwa (w tym MŚP)</w:t>
      </w:r>
    </w:p>
    <w:p w14:paraId="240F1D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Słowa kluczowe</w:t>
      </w:r>
    </w:p>
    <w:p w14:paraId="240F1D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aparatura, B+R, badania, badania_i_rozwój, infrastruktura_badawcza, innowacja, jednostka_naukowa, RIS</w:t>
      </w:r>
    </w:p>
    <w:p w14:paraId="240F1D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D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D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D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1D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D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WLWK-PLRO005 - Liczba wspartych laboratoriów badawczych</w:t>
      </w:r>
    </w:p>
    <w:p w14:paraId="240F1D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WLWK-RCO006 - Naukowcy pracujący we wspieranych obiektach badawczych</w:t>
      </w:r>
    </w:p>
    <w:p w14:paraId="240F1D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WLWK-RCO008 - Nominalna wartość sprzętu na potrzeby badań naukowych i innowacji</w:t>
      </w:r>
    </w:p>
    <w:p w14:paraId="240F1D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WLWK-RCO007 - Organizacje badawcze uczestniczące we wspólnych projektach badawczych</w:t>
      </w:r>
    </w:p>
    <w:p w14:paraId="240F1D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WLWK-RCO010 - Przedsiębiorstwa współpracujące z organizacjami badawczymi</w:t>
      </w:r>
    </w:p>
    <w:p w14:paraId="240F1D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D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40F1D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D12"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 w:name="_Toc241668168"/>
      <w:r>
        <w:rPr>
          <w:rFonts w:ascii="Calibri" w:hAnsi="Calibri" w:cs="Calibri"/>
          <w:sz w:val="32"/>
        </w:rPr>
        <w:t>Działanie FELU.01.02 Infrastruktura wspomagająca rozwój technologiczny przedsiębiorstw</w:t>
      </w:r>
      <w:bookmarkEnd w:id="4"/>
    </w:p>
    <w:p w14:paraId="240F1D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D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 - Rozwijanie i wzmacnianie zdolności badawczych i innowacyjnych oraz wykorzystywanie zaawansowanych technologii</w:t>
      </w:r>
    </w:p>
    <w:p w14:paraId="240F1D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1D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1D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D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14 652 079,00</w:t>
      </w:r>
    </w:p>
    <w:p w14:paraId="240F1D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D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13 919 475,00</w:t>
      </w:r>
    </w:p>
    <w:p w14:paraId="240F1D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D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001 - Inwestycje w środki trwałe, w tym infrastrukturę badawczą, w mikroprzedsiębiorstwach bezpośrednio związane z działaniami badawczymi i innowacyjnymi, 002 - Inwestycje w środki trwałe, w tym infrastrukturę badawczą, w małych i średnich przedsiębiorstwach (w tym prywatnych organizacjach badawczych) bezpośrednio związane z działaniami badawczymi i innowacyjnymi, 003 - Inwestycje w środki trwałe, w tym infrastrukturę badawczą, w dużych przedsiębiorstwach bezpośrednio związane z działaniami badawczymi i innowacyjnymi, 004 - Inwestycje w środki trwałe, w tym infrastrukturę badawczą, w publicznych organizacjach badawczych i instytucjach szkolnictwa wyższego bezpośrednio związane z działaniami badawczymi i innowacyjnymi, 005 - Inwestycje w wartości niematerialne i prawne w mikroprzedsiębiorstwach bezpośrednio związane z działaniami badawczymi i innowacyjnymi, 006 - Inwestycje w wartości niematerialne i prawne w MŚP (w tym prywatnych organizacjach badawczych) bezpośrednio związane z działaniami badawczymi i innowacyjnymi, 007 - Inwestycje w wartości niematerialne i prawne w dużych przedsiębiorstwach bezpośrednio związane z działaniami badawczymi i innowacyjnymi</w:t>
      </w:r>
    </w:p>
    <w:p w14:paraId="240F1D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D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Wsparcie infrastruktury B+R w przedsiębiorstwach (w tym usługi szkoleniowe w zakresie wykorzystania nabytej infrastruktury).</w:t>
      </w:r>
      <w:r>
        <w:br/>
        <w:t>W zakresie infrastruktury B+R w przedsiębiorstwach wsparcie zostanie skierowane bezpośrednio do przedsiębiorstw. W ramach działania wsparcie mogą uzyskać projekty polegające na stworzeniu lub rozwoju istniejącego zaplecza badawczo-rozwojowego, w szczególności zakup środków trwałych: aparatury i urządzeń laboratoryjnych oraz wartości niematerialnych i prawnych, na bazie których planowane jest prowadzenie działalności B+R. Przedsiębiorstwa będą mogły otrzymać komplementarne wsparcie dotyczące usług szkoleniowych w zakresie wykorzystania nabytej infrastruktury.</w:t>
      </w:r>
      <w:r>
        <w:br/>
      </w:r>
      <w:r>
        <w:br/>
        <w:t xml:space="preserve">Prace B+R realizowane przy wykorzystaniu infrastruktury B+R będą obejmować badania przemysłowe i/lub eksperymentalne prace rozwojowe, zgodnie z zakresem określonym w Rozporządzeniu Komisji (UE) nr 651/2014 z dnia 17 czerwca 2014 r. uznające niektóre rodzaje pomocy za zgodne z rynkiem wewnętrznym w zastosowaniu art. 107 i 108 Traktatu. Nie będą wspierane badania podstawowe. </w:t>
      </w:r>
      <w:r>
        <w:br/>
      </w:r>
      <w:r>
        <w:br/>
        <w:t>Kluczowe warunki realizacji projektów:</w:t>
      </w:r>
      <w:r>
        <w:br/>
        <w:t>1.</w:t>
      </w:r>
      <w:r>
        <w:tab/>
        <w:t>Szczegółowe zasady kwalifikowalności wydatków określone zostaną w Regulaminie wyboru projektów.</w:t>
      </w:r>
      <w:r>
        <w:br/>
        <w:t>2.</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3.</w:t>
      </w:r>
      <w:r>
        <w:tab/>
        <w:t>Projekty muszą być zgodne z Regionalną Strategią Innowacji Województwa Lubelskiego do 2030 roku. Wsparciem w ramach działania objęte będą przedsięwzięcia realizowane w obszarach Regionalnych Inteligentnych Specjalizacji Województwa Lubelskiego.</w:t>
      </w:r>
      <w:r>
        <w:br/>
      </w:r>
      <w:r>
        <w:lastRenderedPageBreak/>
        <w:t>4.</w:t>
      </w:r>
      <w:r>
        <w:tab/>
        <w:t>Wsparcie dużych przedsiębiorstw możliwe jest pod warunkiem gdy inwestycja wiąże się ze współpracą z MŚP zgodnie z art. 5 ust. 2 lit. a) Rozporządzenia Parlamentu Europejskiego i Rady (UE) 2021/1058 z dnia 24 czerwca 2021 r. w sprawie Europejskiego Funduszu Rozwoju Regionalnego i Funduszu Spójności.</w:t>
      </w:r>
      <w:r>
        <w:br/>
        <w:t>5.</w:t>
      </w:r>
      <w:r>
        <w:tab/>
        <w:t>Warunkiem wsparcia inwestycji w ramach Działania będzie przedstawienie przez przedsiębiorstwo planów dotyczących prac B+R, których realizacji będzie służyła dofinansowywana infrastruktura oraz opisu ich zastosowania w gospodarce.</w:t>
      </w:r>
      <w:r>
        <w:br/>
        <w:t>6.</w:t>
      </w:r>
      <w:r>
        <w:tab/>
        <w:t>W ramach Działania zastosowane będą preferencje dla projektów zawierających elementy współpracy ponadregionalnej, transgranicznej lub ponadnarodowej.</w:t>
      </w:r>
      <w:r>
        <w:br/>
        <w:t>7. Wsparcie w ramach Działania jest zgodne z Wytycznymi dotyczącymi realizacji zasad równościowych w ramach funduszy unijnych na lata 2021-2027.</w:t>
      </w:r>
    </w:p>
    <w:p w14:paraId="240F1D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D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D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D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D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D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1D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D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1D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D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40F1D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D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D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D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1D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Minimalny wkład własny beneficjenta</w:t>
      </w:r>
    </w:p>
    <w:p w14:paraId="240F1D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objętej pomocą publiczną: zgodnie z programami pomocy publicznej; Projekty w części objętej pomocą de minimis: zgodnie z Regulaminem wyboru projektów, jednakże nie mniej niż 5%</w:t>
      </w:r>
    </w:p>
    <w:p w14:paraId="240F1D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D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1D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D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1D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D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Partnerstwa, Przedsiębiorstwa</w:t>
      </w:r>
    </w:p>
    <w:p w14:paraId="240F1D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D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regionu korzystający z rezultatów projektu, osoby prowadzące działalność naukową, przedsiębiorstwa (w tym MŚP)</w:t>
      </w:r>
    </w:p>
    <w:p w14:paraId="240F1D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D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aparatura, B+R, badania, badania_i_rozwój, infrastruktura_badawcza, laboratorium, naukowiec, usługi_badawcze</w:t>
      </w:r>
    </w:p>
    <w:p w14:paraId="240F1D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1D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1D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D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D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D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1D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D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1D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WLWK-PLRO005 - Liczba wspartych laboratoriów badawczych</w:t>
      </w:r>
    </w:p>
    <w:p w14:paraId="240F1D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1D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1D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1D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WLWK-RCO101 - MŚP inwestujące w umiejętności w zakresie inteligentnej specjalizacji, transformacji przemysłowej i przedsiębiorczości</w:t>
      </w:r>
    </w:p>
    <w:p w14:paraId="240F1D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WLWK-RCO006 - Naukowcy pracujący we wspieranych obiektach badawczych</w:t>
      </w:r>
    </w:p>
    <w:p w14:paraId="240F1D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WLWK-RCO008 - Nominalna wartość sprzętu na potrzeby badań naukowych i innowacji</w:t>
      </w:r>
    </w:p>
    <w:p w14:paraId="240F1D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240F1D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WLWK-RCO010 - Przedsiębiorstwa współpracujące z organizacjami badawczymi</w:t>
      </w:r>
    </w:p>
    <w:p w14:paraId="240F1D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D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WLWK-RCR102 - Miejsca pracy dla naukowców utworzone we wspieranych jednostkach</w:t>
      </w:r>
    </w:p>
    <w:p w14:paraId="240F1D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240F1D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WLWK-PLRR054 - Pracownicy MŚP kończący szkolenia w zakresie rozwoju umiejętności w zakresie inteligentnej specjalizacji, transformacji przemysłowej i przedsiębiorczości (według rodzaju umiejętności: techniczne)</w:t>
      </w:r>
    </w:p>
    <w:p w14:paraId="240F1D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40F1D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WLWK-PLRR001 - Wartość nakładów na działalność B+R we wspartych przedsiębiorstwach </w:t>
      </w:r>
    </w:p>
    <w:p w14:paraId="240F1D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D51"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 w:name="_Toc241668169"/>
      <w:r>
        <w:rPr>
          <w:rFonts w:ascii="Calibri" w:hAnsi="Calibri" w:cs="Calibri"/>
          <w:sz w:val="32"/>
        </w:rPr>
        <w:t>Działanie FELU.01.03 Badania i innowacje w sektorze przedsiębiorstw</w:t>
      </w:r>
      <w:bookmarkEnd w:id="5"/>
    </w:p>
    <w:p w14:paraId="240F1D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D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 - Rozwijanie i wzmacnianie zdolności badawczych i innowacyjnych oraz wykorzystywanie zaawansowanych technologii</w:t>
      </w:r>
    </w:p>
    <w:p w14:paraId="240F1D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1D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1D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D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72 754 676,00</w:t>
      </w:r>
    </w:p>
    <w:p w14:paraId="240F1D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D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69 116 942,00</w:t>
      </w:r>
    </w:p>
    <w:p w14:paraId="240F1D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D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001 - Inwestycje w środki trwałe, w tym infrastrukturę badawczą, w mikroprzedsiębiorstwach bezpośrednio związane z działaniami badawczymi i innowacyjnymi, 002 - Inwestycje w środki trwałe, w tym infrastrukturę badawczą, w małych i średnich przedsiębiorstwach (w tym prywatnych organizacjach badawczych) bezpośrednio związane z działaniami badawczymi i innowacyjnymi, 003 - Inwestycje w środki trwałe, w tym infrastrukturę badawczą, w dużych przedsiębiorstwach bezpośrednio związane z działaniami badawczymi i innowacyjnymi, 004 - Inwestycje w środki trwałe, w tym infrastrukturę badawczą, w publicznych organizacjach badawczych i instytucjach szkolnictwa wyższego bezpośrednio związane z działaniami badawczymi i innowacyjnymi, 005 - Inwestycje w wartości niematerialne i prawne </w:t>
      </w:r>
      <w:r>
        <w:lastRenderedPageBreak/>
        <w:t>w mikroprzedsiębiorstwach bezpośrednio związane z działaniami badawczymi i innowacyjnymi, 006 - Inwestycje w wartości niematerialne i prawne w MŚP (w tym prywatnych organizacjach badawczych) bezpośrednio związane z działaniami badawczymi i innowacyjnymi, 007 - Inwestycje w wartości niematerialne i prawne w dużych przedsiębiorstwach bezpośrednio związane z działaniami badawczymi i innowacyjnymi, 008 - Inwestycje w wartości niematerialne i prawne w publicznych organizacjach badawczych i instytucjach szkolnictwa wyższego bezpośrednio związane z działaniami badawczymi i innowacyjnymi, 009 - Działania badawcze i innowacyjne w mikroprzedsiębiorstwach, w tym tworzenie sieci kontaktów (badania przemysłowe, eksperymentalne prace rozwojowe, studia wykonalności), 010 - Działania badawcze i innowacyjne w MŚP, w tym tworzenie sieci kontaktów, 011 - Działania badawcze i innowacyjne w dużych przedsiębiorstwach, w tym tworzenie sieci kontaktów</w:t>
      </w:r>
    </w:p>
    <w:p w14:paraId="240F1D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D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Projekty B+R (obejmujące badania przemysłowe i/lub eksperymentalne prace rozwojowe) realizowane przez przedsiębiorstwa lub ich konsorcja (w tym w partnerstwie z organizacjami badawczymi), mające na celu opracowanie nowych produktów/usług, procesów lub też wprowadzenie znaczących ulepszeń do istniejących produktów/usług, procesów.</w:t>
      </w:r>
      <w:r>
        <w:br/>
        <w:t>2.</w:t>
      </w:r>
      <w:r>
        <w:tab/>
        <w:t>Projekty badawczo-wdrożeniowe realizowane przez przedsiębiorstwa lub ich konsorcja (w tym w partnerstwie z organizacjami badawczymi), zmierzające do komercjalizacji wyników prac B+R przez przedsiębiorstwa.</w:t>
      </w:r>
      <w:r>
        <w:br/>
        <w:t>3.</w:t>
      </w:r>
      <w:r>
        <w:tab/>
        <w:t>Wdrożenie wyników prac B+R oraz innowacji przez MŚP (w tym wsparcie rozwoju eksportu produktów innowacyjnych).</w:t>
      </w:r>
      <w:r>
        <w:br/>
        <w:t>4.</w:t>
      </w:r>
      <w:r>
        <w:tab/>
        <w:t>Zlecanie opracowania rozwiązań technicznych, technologicznych i/lub organizacyjnych (badania przemysłowe lub prace rozwojowe lub wsparcie innych faz procesu projektowego) zakończone wdrożeniem do etapu pierwszej produkcji.</w:t>
      </w:r>
      <w:r>
        <w:br/>
        <w:t>W zakresie 1 typu projektu wsparciem objęte zostaną badania przemysłowe i/lub eksperymentalne prace rozwojowe zgodnie z definicją zawartą jest w art. 2 Rozporządzenia Komisji (UE) NR 651/2014.</w:t>
      </w:r>
      <w:r>
        <w:br/>
        <w:t>W zakresie 2 typu projektu przewidziana pomoc będzie miała charakter kompleksowy.</w:t>
      </w:r>
      <w:r>
        <w:br/>
        <w:t>Wsparciem zostaną objęte projekty polegające na opracowaniu nowych produktów/usług, procesów lub też wprowadzeniu znaczących ulepszeń do istniejących produktów/usług, procesów (badania przemysłowe, eksperymentalne prace rozwojowe) oraz w przypadku MŚP również na wdrożeniu wyników prac B+R do działalności gospodarczej (komponent wdrożeniowy). Wdrożenie wyników prac B+R jest obligatoryjne i badane na etapie oceny projektu (pod kątem m. in. wykonalności projektu oraz uzasadnienia dla wdrożenia).</w:t>
      </w:r>
      <w:r>
        <w:br/>
        <w:t>Wsparcie udzielane będzie w formie dotacji warunkowej. Uzyskanie wsparcia na komponent wdrożeniowy warunkowane będzie pomyślnym zakończeniem fazy badawczo-rozwojowej projektu realizowanego w ramach tego typu projektów. Komponent wdrożeniowy musi stanowić mniej niż 50% wydatków kwalifikowalnych w projekcie.</w:t>
      </w:r>
      <w:r>
        <w:br/>
        <w:t xml:space="preserve">Typ 3 projektu dedykowany jest wyłącznie MŚP. W ramach tego typu projektów wsparciem zostaną objęte inwestycje służące wdrożeniu w przedsiębiorstwie wyników prac B+R lub innowacji produktowych i/lub procesowych oraz działania mające na celu dostosowanie istniejących aktywów firmy do potrzeb </w:t>
      </w:r>
      <w:r>
        <w:lastRenderedPageBreak/>
        <w:t>wdrożenia nowego procesu, produktu, bądź usługi, a także pobudzaniu innowacji marketingowej i organizacyjnej oraz wsparcie rozwoju eksportu produktów innowacyjnych.</w:t>
      </w:r>
      <w:r>
        <w:br/>
        <w:t>Wsparcie w ramach tego typu projektu będzie udzielane w formie dotacji warunkowej.</w:t>
      </w:r>
      <w:r>
        <w:br/>
        <w:t>Typ 4 projektu dedykowany jest wyłącznie MŚP.</w:t>
      </w:r>
      <w:r>
        <w:br/>
        <w:t>Kluczowe warunki realizacji projektów:</w:t>
      </w:r>
      <w:r>
        <w:br/>
        <w:t>1.</w:t>
      </w:r>
      <w:r>
        <w:tab/>
        <w:t>Szczegółowe zasady kwalifikowalności wydatków określone zostaną w Regulaminie wyboru projektów.</w:t>
      </w:r>
      <w:r>
        <w:br/>
        <w:t>2.</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3.</w:t>
      </w:r>
      <w:r>
        <w:tab/>
        <w:t>Projekty muszą być zgodne z Regionalną Strategią Innowacji Województwa Lubelskiego do 2030 roku. Wsparciem w ramach działania objęte będą przedsięwzięcia realizowane w obszarach Regionalnych Inteligentnych Specjalizacji Województwa Lubelskiego.</w:t>
      </w:r>
      <w:r>
        <w:br/>
        <w:t>4.</w:t>
      </w:r>
      <w:r>
        <w:tab/>
        <w:t>Wsparcie dużych przedsiębiorstw możliwe jest w 1 i 2 typie projektów, pod warunkiem gdy inwestycja wiąże się ze współpracą z MŚP zgodnie z art. 5 ust. 2 lit. a) Rozporządzenia Parlamentu Europejskiego i Rady (UE) 2021/1058 z dnia 24 czerwca 2021 r. w sprawie Europejskiego Funduszu Rozwoju Regionalnego i Funduszu Spójności.</w:t>
      </w:r>
      <w:r>
        <w:br/>
        <w:t>5.</w:t>
      </w:r>
      <w:r>
        <w:tab/>
        <w:t>W ramach Działania zastosowane będą preferencje dla projektów zawierających elementy współpracy ponadregionalnej, transgranicznej lub ponadnarodowej. W wybranych naborach konkurencyjnych premiowani będą beneficjenci wykazujący się doświadczeniem i/lub zaangażowaniem w prowadzone działania współpracy międzyregionalnej, transgranicznej i transnarodowej. Przewiduje się premiowanie projektów wysoko ocenionych w programie „Horyzont Europa”, które ze względu na wyczerpanie się alokacji nie otrzymały wsparcia.</w:t>
      </w:r>
      <w:r>
        <w:br/>
        <w:t>6.</w:t>
      </w:r>
      <w:r>
        <w:tab/>
        <w:t>Wsparcie w ramach Działania jest zgodne z Wytycznymi dotyczącymi realizacji zasad równościowych w ramach funduszy unijnych na lata 2021-2027.</w:t>
      </w:r>
      <w:r>
        <w:br/>
      </w:r>
    </w:p>
    <w:p w14:paraId="240F1D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D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D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D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D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D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w:t>
      </w:r>
      <w:r>
        <w:lastRenderedPageBreak/>
        <w:t>zgodne z rynkiem wewnętrznym w zastosowaniu art. 107 i 108 Traktatu (Dz. Urz. UE L 187 z 26.06.2014, str. 1, z późn. zm.)</w:t>
      </w:r>
    </w:p>
    <w:p w14:paraId="240F1D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D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 Rozporządzenie Ministra Funduszy i Polityki Regionalnej z dnia 29 listopada 2022 r. w sprawie udzielania pomocy na badania przemysłowe, eksperymentalne prace rozwojowe oraz studia wykonalności w ramach regionalnych programów na lata 2021–2027 (Dz.U. 2022 poz. 2573)</w:t>
      </w:r>
    </w:p>
    <w:p w14:paraId="240F1D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D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240F1D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D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D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D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1D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D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objętej pomocą publiczną: zgodnie z programami pomocy publicznej; Projekty w części objętej pomocą de minimis: zgodnie z Regulaminem wyboru projektów, jednakże nie mniej niż 5%</w:t>
      </w:r>
    </w:p>
    <w:p w14:paraId="240F1D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D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1D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D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1D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D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Partnerstwa, Przedsiębiorstwa</w:t>
      </w:r>
    </w:p>
    <w:p w14:paraId="240F1D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D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regionu korzystający z rezultatów projektu, organizacje i instytuty badawcze, przedsiębiorstwa (w tym MŚP)</w:t>
      </w:r>
    </w:p>
    <w:p w14:paraId="240F1D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D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 badania_i_rozwój, innowacja, knowhow, komercjalizacja, prace_badawcze, prace_rozwojowe, transfer_technologii, usługi_badawcze, wynalazek</w:t>
      </w:r>
    </w:p>
    <w:p w14:paraId="240F1D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Wielkość podmiotu (w przypadku przedsiębiorstw)</w:t>
      </w:r>
    </w:p>
    <w:p w14:paraId="240F1D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1D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D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D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D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D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WLWK-PLRO006 - Liczba przedsiębiorstw otrzymujących wsparcie w zakresie transformacji w kierunku zrównoważonego rozwoju</w:t>
      </w:r>
    </w:p>
    <w:p w14:paraId="240F1D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WLWK-PLRO162 - Liczba przedsiębiorstw wspartych w zakresie internacjonalizacji działalności</w:t>
      </w:r>
    </w:p>
    <w:p w14:paraId="240F1D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WLWK-PLRO159 - Liczba przedsiębiorstw wspartych w zakresie realizacji prac B+R </w:t>
      </w:r>
    </w:p>
    <w:p w14:paraId="240F1D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WLWK-PLRO007 - Liczba realizowanych projektów B+R</w:t>
      </w:r>
    </w:p>
    <w:p w14:paraId="240F1D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1D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1D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1D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1D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WLWK-RCO008 - Nominalna wartość sprzętu na potrzeby badań naukowych i innowacji</w:t>
      </w:r>
    </w:p>
    <w:p w14:paraId="240F1D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WLWK-RCO007 - Organizacje badawcze uczestniczące we wspólnych projektach badawczych</w:t>
      </w:r>
    </w:p>
    <w:p w14:paraId="240F1D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240F1D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WLWK-RCO010 - Przedsiębiorstwa współpracujące z organizacjami badawczymi</w:t>
      </w:r>
    </w:p>
    <w:p w14:paraId="240F1D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D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WLWK-PLRR051 - Liczba przedsięwzięć proekologicznych</w:t>
      </w:r>
    </w:p>
    <w:p w14:paraId="240F1D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WLWK-PLRR006 - Liczba wdrożonych wyników prac B+R</w:t>
      </w:r>
    </w:p>
    <w:p w14:paraId="240F1D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WLWK-PLRR030 - Liczba wprowadzonych innowacji marketingowych</w:t>
      </w:r>
    </w:p>
    <w:p w14:paraId="240F1D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WLWK-PLRR031 - Liczba wprowadzonych innowacji organizacyjnych</w:t>
      </w:r>
    </w:p>
    <w:p w14:paraId="240F1D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WLWK-PLRR029 - Liczba wprowadzonych innowacji procesowych</w:t>
      </w:r>
    </w:p>
    <w:p w14:paraId="240F1D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WLWK-PLRR028 - Liczba wprowadzonych innowacji produktowych</w:t>
      </w:r>
    </w:p>
    <w:p w14:paraId="240F1D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WLWK-PLRR004 - Liczba zgłoszeń wzorów przemysłowych do Urzędu Patentowego RP</w:t>
      </w:r>
    </w:p>
    <w:p w14:paraId="240F1D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WLWK-PLRR005 - Liczba zgłoszeń wzorów użytkowych do Urzędu Patentowego RP</w:t>
      </w:r>
    </w:p>
    <w:p w14:paraId="240F1D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WLWK-PLRR025 - Małe i średnie przedsiębiorstwa (MŚP) wprowadzające innowacje procesowe</w:t>
      </w:r>
    </w:p>
    <w:p w14:paraId="240F1D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WLWK-PLRR024 - Małe i średnie przedsiębiorstwa (MŚP) wprowadzające innowacje produktowe</w:t>
      </w:r>
    </w:p>
    <w:p w14:paraId="240F1D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240F1D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WLWK-PLRR026 - MŚP wprowadzające innowacje marketingowe</w:t>
      </w:r>
    </w:p>
    <w:p w14:paraId="240F1D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WLWK-PLRR027 - MŚP wprowadzające innowacje organizacyjne</w:t>
      </w:r>
    </w:p>
    <w:p w14:paraId="240F1D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WLWK-RCR005 - MŚP wprowadzające innowacje wewnątrz przedsiębiorstwa</w:t>
      </w:r>
    </w:p>
    <w:p w14:paraId="240F1D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WLWK-RCR025 - MŚP z wyższą wartością dodaną na pracownika</w:t>
      </w:r>
    </w:p>
    <w:p w14:paraId="240F1D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WLWK-PLRR033 - Przychody ze sprzedaży nowych lub udoskonalonych produktów/usług</w:t>
      </w:r>
    </w:p>
    <w:p w14:paraId="240F1D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WLWK-RCR008 - Publikacje w ramach wspieranych projektów</w:t>
      </w:r>
    </w:p>
    <w:p w14:paraId="240F1D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40F1D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WLWK-PLRR001 - Wartość nakładów na działalność B+R we wspartych przedsiębiorstwach </w:t>
      </w:r>
    </w:p>
    <w:p w14:paraId="240F1D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WLWK-RCR007 - Wnioski w zakresie znaków towarowych oraz wzorów</w:t>
      </w:r>
    </w:p>
    <w:p w14:paraId="240F1D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WLWK-RCR006 - Złożone wnioski patentowe</w:t>
      </w:r>
    </w:p>
    <w:p w14:paraId="240F1D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DA1"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 w:name="_Toc241668170"/>
      <w:r>
        <w:rPr>
          <w:rFonts w:ascii="Calibri" w:hAnsi="Calibri" w:cs="Calibri"/>
          <w:sz w:val="32"/>
        </w:rPr>
        <w:t>Działanie FELU.01.04 Transfer technologii i komercjalizacja badań</w:t>
      </w:r>
      <w:bookmarkEnd w:id="6"/>
    </w:p>
    <w:p w14:paraId="240F1D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D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 - Rozwijanie i wzmacnianie zdolności badawczych i innowacyjnych oraz wykorzystywanie zaawansowanych technologii</w:t>
      </w:r>
    </w:p>
    <w:p w14:paraId="240F1D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1D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1D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D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438 768,00</w:t>
      </w:r>
    </w:p>
    <w:p w14:paraId="240F1D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D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416 829,00</w:t>
      </w:r>
    </w:p>
    <w:p w14:paraId="240F1D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D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009 - Działania badawcze i innowacyjne w mikroprzedsiębiorstwach, w tym tworzenie sieci kontaktów (badania przemysłowe, eksperymentalne prace rozwojowe, studia wykonalności), 010 - Działania badawcze i innowacyjne w MŚP, w tym tworzenie sieci kontaktów, 029 - Procesy badawcze i innowacyjne, transfer technologii i współpraca między przedsiębiorstwami, organizacjami badawczymi i uczelniami wyższymi, koncentrujące się na gospodarce niskoemisyjnej, odporności i przystosowaniu się do zmian klimatu, 030 - Procesy badawcze i innowacyjne, transfer technologii i współpraca między przedsiębiorstwami koncentrujące się na gospodarce o obiegu zamkniętym</w:t>
      </w:r>
    </w:p>
    <w:p w14:paraId="240F1D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D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r>
      <w:r>
        <w:lastRenderedPageBreak/>
        <w:t>1.</w:t>
      </w:r>
      <w:r>
        <w:tab/>
        <w:t>Kompleksowe działania dotyczące usług związanych z pobudzaniem transferu technologii i komercjalizacją badań, m.in. analiza innowacyjnych pomysłów pod kątem możliwości ich wdrożenia i komercjalizacji, opracowanie strategii komercjalizacji, opracowanie studiów wykonalności, przeprowadzenie badań rynkowych, usługi wyceny własności intelektualnej, usługi związane z ochroną własności intelektualnej.</w:t>
      </w:r>
      <w:r>
        <w:br/>
        <w:t>Działanie ma na celu lepsze wykorzystanie potencjału instytucjonalnego oraz kompetencji ośrodków innowacji m.in. poprzez poprawę atrakcyjności oferty wysokospecjalistycznych usług.</w:t>
      </w:r>
      <w:r>
        <w:br/>
        <w:t>Kluczowe warunki realizacji projektów:</w:t>
      </w:r>
      <w:r>
        <w:br/>
        <w:t>1.</w:t>
      </w:r>
      <w:r>
        <w:tab/>
        <w:t>Szczegółowe zasady kwalifikowalności wydatków określone zostaną w Regulaminie wyboru projektów.</w:t>
      </w:r>
      <w:r>
        <w:br/>
        <w:t>2.</w:t>
      </w:r>
      <w:r>
        <w:tab/>
        <w:t>Wsparcie w ramach Działania nie może być udzielone w zakresie w jakim jest wykluczone w art. 1 ust. 1 Rozporządzenia Komisji (UE) nr 2023/2831 z dnia 13 grudnia 2023 r. w sprawie stosowania art. 107 i 108 Traktatu o funkcjonowaniu Unii Europejskiej do pomocy de minimis.</w:t>
      </w:r>
      <w:r>
        <w:br/>
        <w:t>3.</w:t>
      </w:r>
      <w:r>
        <w:tab/>
        <w:t>Projekty muszą być zgodne z Regionalną Strategią Innowacji Województwa Lubelskiego do 2030 roku. Wsparciem w ramach działania objęte będą przedsięwzięcia realizowane w obszarach Regionalnych Inteligentnych Specjalizacji Województwa Lubelskiego.</w:t>
      </w:r>
      <w:r>
        <w:br/>
        <w:t>4.</w:t>
      </w:r>
      <w:r>
        <w:tab/>
        <w:t>Wsparcie ośrodków innowacji musi zostać poprzedzone analizą popytu.</w:t>
      </w:r>
      <w:r>
        <w:br/>
        <w:t>5.</w:t>
      </w:r>
      <w:r>
        <w:tab/>
        <w:t>W ramach Działania zastosowane będą preferencje dla projektów zawierających elementy współpracy ponadregionalnej, transgranicznej lub ponadnarodowej.</w:t>
      </w:r>
      <w:r>
        <w:br/>
        <w:t>6.</w:t>
      </w:r>
      <w:r>
        <w:tab/>
        <w:t>Wsparcie w ramach Działania jest zgodne z Wytycznymi dotyczącymi realizacji zasad równościowych w ramach funduszy unijnych na lata 2021-2027.</w:t>
      </w:r>
    </w:p>
    <w:p w14:paraId="240F1D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D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D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D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D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D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1D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D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240F1D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D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240F1D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Forma wsparcia</w:t>
      </w:r>
    </w:p>
    <w:p w14:paraId="240F1D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D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D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1D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D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nieobjętej pomocą publiczną: nie mniej niż 5%; Projekty w części objętej pomocą de minimis: zgodnie z Regulaminem wyboru projektów, jednakże nie mniej niż 5%</w:t>
      </w:r>
    </w:p>
    <w:p w14:paraId="240F1D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D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1D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D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1D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D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w:t>
      </w:r>
    </w:p>
    <w:p w14:paraId="240F1D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D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naukowe i ich pracownicy, mieszkańcy regionu korzystający z rezultatów projektu, organizacje i instytuty badawcze, osoby prowadzące działalność naukową, przedsiębiorstwa (w tym MŚP)</w:t>
      </w:r>
    </w:p>
    <w:p w14:paraId="240F1D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D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budowa_kompetencji, centrum_innowacji, komercjalizacja, ochrona_własności_intelektualnej, transfer_technologii</w:t>
      </w:r>
    </w:p>
    <w:p w14:paraId="240F1D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D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D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D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D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1D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1D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1D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1D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WLWK-RCO101 - MŚP inwestujące w umiejętności w zakresie inteligentnej specjalizacji, transformacji przemysłowej i przedsiębiorczości</w:t>
      </w:r>
    </w:p>
    <w:p w14:paraId="240F1D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240F1D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WLWK-RCO004 - Przedsiębiorstwa otrzymujące wsparcie niefinansowe</w:t>
      </w:r>
    </w:p>
    <w:p w14:paraId="240F1D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WLWK-RCO010 - Przedsiębiorstwa współpracujące z organizacjami badawczymi</w:t>
      </w:r>
    </w:p>
    <w:p w14:paraId="240F1D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D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WLWK-PLRR058 - Pracownicy MŚP kończący szkolenia w zakresie rozwoju umiejętności w zakresie inteligentnej specjalizacji, transformacji przemysłowej i przedsiębiorczości (według rodzaju umiejętności:  inne)</w:t>
      </w:r>
    </w:p>
    <w:p w14:paraId="240F1D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40F1D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DD8"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 w:name="_Toc241668171"/>
      <w:r>
        <w:rPr>
          <w:rFonts w:ascii="Calibri" w:hAnsi="Calibri" w:cs="Calibri"/>
          <w:sz w:val="32"/>
        </w:rPr>
        <w:t>Działanie FELU.01.05 Specjalizacja gospodarki regionalnej - działanie usunięte</w:t>
      </w:r>
      <w:bookmarkEnd w:id="7"/>
    </w:p>
    <w:p w14:paraId="240F1D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D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 - Rozwijanie i wzmacnianie zdolności badawczych i innowacyjnych oraz wykorzystywanie zaawansowanych technologii</w:t>
      </w:r>
    </w:p>
    <w:p w14:paraId="240F1D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1D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1D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D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0,00</w:t>
      </w:r>
    </w:p>
    <w:p w14:paraId="240F1D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D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0,00</w:t>
      </w:r>
    </w:p>
    <w:p w14:paraId="240F1D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D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010 - Działania badawcze i innowacyjne w MŚP, w tym tworzenie sieci kontaktów, 011 - Działania badawcze i innowacyjne w dużych przedsiębiorstwach, w tym tworzenie sieci kontaktów, 023 - Rozwój umiejętności na rzecz inteligentnej specjalizacji, transformacji przemysłowej, przedsiębiorczości i zdolności przedsiębiorstw dostosowania się do zmian, 029 - Procesy badawcze i innowacyjne, transfer technologii i współpraca między przedsiębiorstwami, organizacjami badawczymi i uczelniami wyższymi, koncentrujące się na gospodarce niskoemisyjnej, odporności i przystosowaniu się do zmian klimatu, 030 - Procesy badawcze i innowacyjne, transfer technologii i współpraca między przedsiębiorstwami koncentrujące się na gospodarce o obiegu zamkniętym</w:t>
      </w:r>
    </w:p>
    <w:p w14:paraId="240F1D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D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Działanie nie będzie kontynuowane.</w:t>
      </w:r>
    </w:p>
    <w:p w14:paraId="240F1D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D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85</w:t>
      </w:r>
    </w:p>
    <w:p w14:paraId="240F1D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D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40F1D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D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1D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D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Funduszy i Polityki Regionalnej z dnia 17 kwietnia 2024 r. w sprawie udzielania pomocy de minimis w ramach regionalnych programów na lata 2021–2027 (Dz.U. 2024 poz. 598)</w:t>
      </w:r>
    </w:p>
    <w:p w14:paraId="240F1D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D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240F1D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D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D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D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1D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D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objętej pomocą publiczną: zgodnie z programami pomocy publicznej; Projekty w części objętej pomocą de minimis: zgodnie z Regulaminem wyboru projektów, jednakże nie mniej niż 15%</w:t>
      </w:r>
    </w:p>
    <w:p w14:paraId="240F1D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D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1D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D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1D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D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Partnerstwa, Przedsiębiorstwa</w:t>
      </w:r>
    </w:p>
    <w:p w14:paraId="240F1D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D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organizacje i instytuty badawcze, przedsiębiorstwa (w tym MŚP)</w:t>
      </w:r>
    </w:p>
    <w:p w14:paraId="240F1D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D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badania_i_rozwój, partnerstwo</w:t>
      </w:r>
    </w:p>
    <w:p w14:paraId="240F1D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1E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1E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E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E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E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E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1E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1E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1E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1E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240F1E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WLWK-RCO010 - Przedsiębiorstwa współpracujące z organizacjami badawczymi</w:t>
      </w:r>
    </w:p>
    <w:p w14:paraId="240F1E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E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40F1E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E0E"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 w:name="_Toc241668172"/>
      <w:r>
        <w:rPr>
          <w:rFonts w:ascii="Calibri" w:hAnsi="Calibri" w:cs="Calibri"/>
          <w:sz w:val="32"/>
        </w:rPr>
        <w:t>Działanie FELU.01.06 Wsparcie regionalnych ekosystemów innowacji</w:t>
      </w:r>
      <w:bookmarkEnd w:id="8"/>
    </w:p>
    <w:p w14:paraId="240F1E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E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EFRR.CP1.IV - Rozwijanie umiejętności w zakresie inteligentnej specjalizacji, transformacji przemysłowej i przedsiębiorczości</w:t>
      </w:r>
    </w:p>
    <w:p w14:paraId="240F1E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1E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1E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E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1 073 684,00</w:t>
      </w:r>
    </w:p>
    <w:p w14:paraId="240F1E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E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1 020 000,00</w:t>
      </w:r>
    </w:p>
    <w:p w14:paraId="240F1E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Zakres interwencji</w:t>
      </w:r>
    </w:p>
    <w:p w14:paraId="240F1E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023 - Rozwój umiejętności na rzecz inteligentnej specjalizacji, transformacji przemysłowej, przedsiębiorczości i zdolności przedsiębiorstw dostosowania się do zmian, 029 - Procesy badawcze i innowacyjne, transfer technologii i współpraca między przedsiębiorstwami, organizacjami badawczymi i uczelniami wyższymi, koncentrujące się na gospodarce niskoemisyjnej, odporności i przystosowaniu się do zmian klimatu, 030 - Procesy badawcze i innowacyjne, transfer technologii i współpraca między przedsiębiorstwami koncentrujące się na gospodarce o obiegu zamkniętym</w:t>
      </w:r>
    </w:p>
    <w:p w14:paraId="240F1E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E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Wspieranie nowych kompetencji i umiejętności pracowników MŚP oraz ośrodków innowacji i inkubatorów przedsiębiorczości w obszarach inteligentnych specjalizacji oraz w celu zwiększenia innowacyjności gospodarki (m.in. w zakresie cyfryzacji i zastosowania rozwiązań z zakresu Przemysłu 4.0 oraz GOZ).</w:t>
      </w:r>
      <w:r>
        <w:br/>
        <w:t>2.</w:t>
      </w:r>
      <w:r>
        <w:tab/>
        <w:t>Zwiększanie zdolności regionalnych ekosystemów innowacji do sieciowania przedsiębiorstw z sektorem nauki oraz partnerami społecznymi i gospodarczymi poprzez identyfikację bieżących potrzeb przedsiębiorców w obszarze technologii i umiejętności w zakresie inteligentnych specjalizacji regionu oraz wspólne kreowanie i planowanie rozwiązań w celu wypełnienia tych potrzeb z zaangażowaniem szkół wyższych, instytucji badawczych, organizacji pozarządowych i jednostek samorządu terytorialnego.</w:t>
      </w:r>
      <w:r>
        <w:br/>
        <w:t>W ramach 1 typu projektów wsparcie będzie ukierunkowane na wybrane, specyficzne dziedziny inteligentnych specjalizacji regionu, których wybór będzie oparty na analizie popytu. Wypracowane profile szkoleniowe powinny brać pod uwagę ich opłacalność i efektywność dla biznesu.</w:t>
      </w:r>
      <w:r>
        <w:br/>
        <w:t>Kluczowe warunki realizacji projektów:</w:t>
      </w:r>
      <w:r>
        <w:br/>
        <w:t>1.</w:t>
      </w:r>
      <w:r>
        <w:tab/>
        <w:t>Szczegółowe zasady kwalifikowalności wydatków określone zostaną w Regulaminie wyboru projektów.</w:t>
      </w:r>
      <w:r>
        <w:br/>
        <w:t>2.</w:t>
      </w:r>
      <w:r>
        <w:tab/>
        <w:t>Wsparcie w ramach Działania nie może być udzielone w zakresie w jakim jest wykluczone w art. 1 ust. 1 Rozporządzenia Komisji (UE) nr 2023/2831 z dnia 13 grudnia 2023 r. w sprawie stosowania art. 107 i 108 Traktatu o funkcjonowaniu Unii Europejskiej do pomocy de minimis.</w:t>
      </w:r>
      <w:r>
        <w:br/>
        <w:t>3.</w:t>
      </w:r>
      <w:r>
        <w:tab/>
        <w:t>Projekty muszą być zgodne z Regionalną Strategią Innowacji Województwa Lubelskiego do 2030 roku. Wsparciem w ramach działania objęte będą przedsięwzięcia realizowane w obszarach Regionalnych Inteligentnych Specjalizacji Województwa Lubelskiego.</w:t>
      </w:r>
      <w:r>
        <w:br/>
        <w:t>4.</w:t>
      </w:r>
      <w:r>
        <w:tab/>
        <w:t>Warunkiem wsparcia inwestycji w ramach Działania będzie przedstawienie przez wnioskodawców planów dotyczących planowanych działań, których realizacji będzie służyło wsparcie.</w:t>
      </w:r>
      <w:r>
        <w:br/>
        <w:t>5.</w:t>
      </w:r>
      <w:r>
        <w:tab/>
        <w:t>W ramach projektów realizowanych w ramach Działania nie będą dofinansowane koszty operacyjne działalności IOB.</w:t>
      </w:r>
      <w:r>
        <w:br/>
        <w:t>6.</w:t>
      </w:r>
      <w:r>
        <w:tab/>
        <w:t>Realizacja musi się przyczyniać do tworzenia i rozwoju usług świadczonych na rzecz transformacji technologicznej gospodarki w kierunku Przemysłu 4.0 i GOZ, w szczególności w modelu kompleksowej obsługi przedsiębiorców.</w:t>
      </w:r>
      <w:r>
        <w:br/>
        <w:t>7.</w:t>
      </w:r>
      <w:r>
        <w:tab/>
        <w:t>W ramach Działania zastosowane będą preferencje dla projektów zawierających elementy współpracy ponadregionalnej, transgranicznej lub ponadnarodowej.</w:t>
      </w:r>
      <w:r>
        <w:br/>
      </w:r>
      <w:r>
        <w:lastRenderedPageBreak/>
        <w:t>8. Wsparcie w ramach Działania jest zgodne z Wytycznymi dotyczącymi realizacji zasad równościowych w ramach funduszy unijnych na lata 2021-2027.</w:t>
      </w:r>
    </w:p>
    <w:p w14:paraId="240F1E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E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E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E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E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E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1E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E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240F1E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E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240F1E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E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E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E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1E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E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nieobjętej pomocą publiczną: zgodnie z Regulaminem wyboru projektów, jednakże nie mniej niż 5%; Projekty w części objętej pomocą de minimis: zgodnie z Regulaminem wyboru projektów, jednakże nie mniej niż 5%</w:t>
      </w:r>
    </w:p>
    <w:p w14:paraId="240F1E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E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1E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E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240F1E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E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w:t>
      </w:r>
    </w:p>
    <w:p w14:paraId="240F1E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E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i instytuty badawcze, ośrodki innowacji i ich pracownicy, przedsiębiorstwa (w tym MŚP), regionalne i lokalne instytucje prorozwojowe oraz ich pracownicy</w:t>
      </w:r>
    </w:p>
    <w:p w14:paraId="240F1E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E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budowa_kompetencji, partnerstwo, transfer_technologii</w:t>
      </w:r>
    </w:p>
    <w:p w14:paraId="240F1E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E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E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E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E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1E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1E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1E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1E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240F1E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WLWK-RCO004 - Przedsiębiorstwa otrzymujące wsparcie niefinansowe</w:t>
      </w:r>
    </w:p>
    <w:p w14:paraId="240F1E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E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WLWK-PLRR058 - Pracownicy MŚP kończący szkolenia w zakresie rozwoju umiejętności w zakresie inteligentnej specjalizacji, transformacji przemysłowej i przedsiębiorczości (według rodzaju umiejętności:  inne)</w:t>
      </w:r>
    </w:p>
    <w:p w14:paraId="240F1E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WLWK-PLRR056 - Pracownicy MŚP kończący szkolenia w zakresie rozwoju umiejętności w zakresie inteligentnej specjalizacji, transformacji przemysłowej i przedsiębiorczości (według rodzaju umiejętności:  przedsiębiorczość)</w:t>
      </w:r>
    </w:p>
    <w:p w14:paraId="240F1E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WLWK-PLRR057 - Pracownicy MŚP kończący szkolenia w zakresie rozwoju umiejętności w zakresie inteligentnej specjalizacji, transformacji przemysłowej i przedsiębiorczości (według rodzaju umiejętności: ekologiczne)</w:t>
      </w:r>
    </w:p>
    <w:p w14:paraId="240F1E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WLWK-PLRR054 - Pracownicy MŚP kończący szkolenia w zakresie rozwoju umiejętności w zakresie inteligentnej specjalizacji, transformacji przemysłowej i przedsiębiorczości (według rodzaju umiejętności: techniczne)</w:t>
      </w:r>
    </w:p>
    <w:p w14:paraId="240F1E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WLWK-PLRR055 - Pracownicy MŚP kończący szkolenia w zakresie rozwoju umiejętności w zakresie inteligentnej specjalizacji, transformacji przemysłowej i przedsiębiorczości (według rodzaju umiejętności: zarządzanie)</w:t>
      </w:r>
    </w:p>
    <w:p w14:paraId="240F1E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40F1E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1E47"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9" w:name="_Toc241668173"/>
      <w:r>
        <w:rPr>
          <w:rFonts w:ascii="Calibri" w:hAnsi="Calibri" w:cs="Calibri"/>
          <w:i w:val="0"/>
          <w:sz w:val="32"/>
        </w:rPr>
        <w:t>Priorytet FELU.02 Transformacja gospodarcza i cyfrowa regionu</w:t>
      </w:r>
      <w:bookmarkEnd w:id="9"/>
    </w:p>
    <w:p w14:paraId="240F1E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1E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1E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1E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1E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1E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CP1 - Bardziej konkurencyjna i inteligentna Europa dzięki wspieraniu innowacyjnej i inteligentnej transformacji gospodarczej oraz regionalnej łączności cyfrowej</w:t>
      </w:r>
    </w:p>
    <w:p w14:paraId="240F1E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1E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1E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1E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172 773 685,00</w:t>
      </w:r>
    </w:p>
    <w:p w14:paraId="240F1E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1E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164 135 000,00</w:t>
      </w:r>
    </w:p>
    <w:p w14:paraId="240F1E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1E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1E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E57"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0" w:name="_Toc241668174"/>
      <w:r>
        <w:rPr>
          <w:rFonts w:ascii="Calibri" w:hAnsi="Calibri" w:cs="Calibri"/>
          <w:sz w:val="32"/>
        </w:rPr>
        <w:t>Działanie FELU.02.01 Cyfrowe Lubelskie</w:t>
      </w:r>
      <w:bookmarkEnd w:id="10"/>
    </w:p>
    <w:p w14:paraId="240F1E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E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 - Czerpanie korzyści z cyfryzacji dla obywateli, przedsiębiorstw, organizacji badawczych i instytucji publicznych</w:t>
      </w:r>
    </w:p>
    <w:p w14:paraId="240F1E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E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42 030 765,00</w:t>
      </w:r>
    </w:p>
    <w:p w14:paraId="240F1E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Wysokość alokacji UE (EUR)</w:t>
      </w:r>
    </w:p>
    <w:p w14:paraId="240F1E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39 929 227,00</w:t>
      </w:r>
    </w:p>
    <w:p w14:paraId="240F1E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E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016 - Rozwiązania TIK, usługi elektroniczne, aplikacje dla administracji, 017 - Rozwiązania TIK, usługi elektroniczne, aplikacje dla administracji zgodne z kryteriami redukcji emisji gazów cieplarnianych lub kryteriami efektywności energetycznej</w:t>
      </w:r>
    </w:p>
    <w:p w14:paraId="240F1E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E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Rozwój elektronicznych usług publicznych na poziomie regionalnym i lokalnym (tworzenie, cyfryzacja nowych usług, poprawa funkcjonalności i e-dojrzałości istniejących usług, integracja usług, tworzenie i rozwijanie platform służących udostępnianiu usług, rozwój infrastruktury informatycznej jednostek, wsparcie rozwoju systemów elektronicznego zarządzania dokumentacją, rejestrów publicznych, aplikacji i systemów bazodanowych).</w:t>
      </w:r>
      <w:r>
        <w:br/>
        <w:t>2.</w:t>
      </w:r>
      <w:r>
        <w:tab/>
        <w:t>Udostępnienie informacji sektora publicznego oraz cyfrowych zasobów pozostających w dyspozycji podmiotów spoza sektora publicznego w zakresie zasobów naukowych, kulturowych i administracji (digitalizacja i udostępnianie zasobów w formie otwartych danych, rozwój repozytoriów cyfrowych wraz z infrastrukturą dla bezpiecznego i długoterminowego przechowywania zasobów, tworzenie i rozwijanie platform służących udostępnianiu zasobów cyfrowych w sposób otwarty pozwalający na ponowne wykorzystanie i dalsze przetwarzanie oraz tworzenie aplikacji w oparciu o udostępnione cyfrowo ISP.</w:t>
      </w:r>
      <w:r>
        <w:br/>
        <w:t>3.</w:t>
      </w:r>
      <w:r>
        <w:tab/>
        <w:t>Rozwój, modernizacja i integracja danych geodezyjnych zasobów powiatowych oraz zasobów wojewódzkich, ich udostępnienie w celu tworzenia związanych z nimi usług cyfrowych.</w:t>
      </w:r>
      <w:r>
        <w:br/>
        <w:t>4.</w:t>
      </w:r>
      <w:r>
        <w:tab/>
        <w:t>Projekty z zakresu infrastruktury informacji przestrzennej.</w:t>
      </w:r>
      <w:r>
        <w:br/>
        <w:t>5.</w:t>
      </w:r>
      <w:r>
        <w:tab/>
        <w:t>Projekty z zakresu rozwoju cyberbezpieczeństwa, tj. wzmacniające bezpieczeństwo świadczenia e-usług lub systemów informatycznych poprzez budowę lub modernizację istniejących systemów, o zasięgu regionalnym i lokalnym.</w:t>
      </w:r>
      <w:r>
        <w:br/>
        <w:t>Wsparcie rozwoju kompetencji cyfrowych pracowników instytucji sektora publicznego w tym zaawansowanych kompetencji kadr z zakresu cyberbezpieczeństwa jako element każdego z typów projektów, realizowanych w ramach Działania 2.1.</w:t>
      </w:r>
      <w:r>
        <w:br/>
        <w:t>Ad.2</w:t>
      </w:r>
      <w:r>
        <w:br/>
        <w:t>-</w:t>
      </w:r>
      <w:r>
        <w:tab/>
        <w:t>Warunkiem wsparcia projektów z zakresu udostępnienia informacji sektora publicznego, będzie zgodność projektów z Dyrektywą w sprawie otwartych danych i ponownego wykorzystywania informacji sektora publicznego (Dyrektywa (UE) 2019/1024). W szczególności zbiory danych o wysokiej wartości powinny być udostępnione bezpłatnie, w formacie nadającym się do odczytu maszynowego, udostępnianego za pośrednictwem interfejsów API oraz w odpowiednich przypadkach, udostępnianego do zbiorczego pobrania.</w:t>
      </w:r>
      <w:r>
        <w:br/>
        <w:t>-</w:t>
      </w:r>
      <w:r>
        <w:tab/>
        <w:t xml:space="preserve">Premiowane będą projekty dostosowujące do Zaleceń w sprawie wspólnej europejskiej przestrzeni danych na potrzeby dziedzictwa kulturowego (Zalecenie Komisji (UE) 2021/1970) które i) </w:t>
      </w:r>
      <w:r>
        <w:lastRenderedPageBreak/>
        <w:t>torują drogę dla wspólnej europejskiej przestrzeni danych dla dziedzictwa kulturowego, ii) mają zapewnić przepływ wysokiej jakości danych między instytucjami dziedzictwa kulturowego, MŚP, przedsiębiorstwami typu start-up i twórcami oraz iii) mają zwiększyć ponowne wykorzystanie zdigitalizowanych zasobów dziedzictwa kulturowego w innych dziedzinach.</w:t>
      </w:r>
      <w:r>
        <w:br/>
        <w:t>Ad.3</w:t>
      </w:r>
      <w:r>
        <w:br/>
        <w:t>-</w:t>
      </w:r>
      <w:r>
        <w:tab/>
        <w:t>Warunkiem wsparcia projektów z zakresu cyfryzacji powiatowego i wojewódzkiego zasobu geodezyjnego będzie uzyskanie pozytywnej opinii Głównego Geodety Kraju.</w:t>
      </w:r>
      <w:r>
        <w:br/>
        <w:t>Ad.5</w:t>
      </w:r>
      <w:r>
        <w:br/>
        <w:t>-</w:t>
      </w:r>
      <w:r>
        <w:tab/>
        <w:t>Projekty z zakresu rozwoju cyberbezpieczeństwa, mogą występować jedynie jako dodatkowy element szerszego projektu w ramach Działania 2.1.</w:t>
      </w:r>
      <w:r>
        <w:br/>
        <w:t>Kluczowe warunki realizacji projektów:</w:t>
      </w:r>
      <w:r>
        <w:br/>
        <w:t>1.</w:t>
      </w:r>
      <w:r>
        <w:tab/>
        <w:t>Szczegółowe zasady kwalifikowalności wydatków określone zostaną w Regulaminie wyboru projektów.</w:t>
      </w:r>
      <w:r>
        <w:br/>
        <w:t>2.</w:t>
      </w:r>
      <w:r>
        <w:tab/>
        <w:t>Warunkiem wsparcia nowych lub zmodernizowanych e-usług publicznych będzie ich komplementarność z istniejącymi i planowanymi e-usługami (na poziomie regionalnym i krajowym) i interoperacyjność a także zgodność z założeniami Architektury Informacyjnej Państwa (https://www.gov.pl/web/krmc/rekomendacje-rady-architektury-it-zespolu-zadaniowego-krmc-w-sprawie-pryncypiow-architektury-informacyjnej-wraz-z-zaleceniami-za-podstawe-budowy-interoperacyjnych-rozwiazan-teleinformatycznych-i-swiadczenia-uslug-w-administracji-rzadowej-ich-publikacje-i-wskazanie-koniecznosci-stosowania-przez-jednostki-administracji-rzadowej).</w:t>
      </w:r>
      <w:r>
        <w:br/>
        <w:t>3.</w:t>
      </w:r>
      <w:r>
        <w:tab/>
        <w:t>Projekty będą realizowane zgodnie z zasadami wskazanymi w Programie Zintegrowanej Informatyzacji Państwa oraz Deklaracji tallińskiej, w tym: domyślności cyfrowej, jednorazowości, powszechności i dostępności, otwartości i przejrzystości, domyślnej transgraniczności i interoperacyjności oraz niezawodności i bezpieczeństwa.</w:t>
      </w:r>
      <w:r>
        <w:br/>
        <w:t>4.</w:t>
      </w:r>
      <w:r>
        <w:tab/>
        <w:t>Preferowane będą projekty zintegrowane, realizowane w partnerstwach podmiotów szczebla powiatowego i gminnego.</w:t>
      </w:r>
      <w:r>
        <w:br/>
        <w:t>5.</w:t>
      </w:r>
      <w:r>
        <w:tab/>
        <w:t>Preferowane będą projekty wynikające ze strategii terytorialnych opracowanych przez partnerstwa JST w celu wdrażania Innego Instrumentu Terytorialnego (strategii rozwoju ponadlokalnego lub strategii IIT).</w:t>
      </w:r>
      <w:r>
        <w:br/>
        <w:t>6.</w:t>
      </w:r>
      <w:r>
        <w:tab/>
        <w:t>Preferowane będą projekty wykorzystujące model „chmury obliczeniowej”.</w:t>
      </w:r>
      <w:r>
        <w:br/>
        <w:t>7.</w:t>
      </w:r>
      <w:r>
        <w:tab/>
        <w:t>Zakup sprzętu informatycznego, możliwy będzie jako element uzupełniający projekt, niezbędny do budowy, rozbudowy bądź modernizacji systemu teleinformatycznego, pod warunkiem, że przeprowadzona analiza wskazała niedostępność zasobów.</w:t>
      </w:r>
      <w:r>
        <w:br/>
        <w:t>8.</w:t>
      </w:r>
      <w:r>
        <w:tab/>
        <w:t>Wsparcie kompetencji cyfrowych kadr zaangażowanych w świadczenie usług, produktów lub procesów cyfrowych, przyczyniających się do wzmocnienia efektów operacji, w szczególności w obszarze cyberbezpieczeństwa, realizowane będzie w ramach finansowania krzyżowego do wysokości 15% współfinansowania unijnego.</w:t>
      </w:r>
      <w:r>
        <w:br/>
        <w:t>9.</w:t>
      </w:r>
      <w:r>
        <w:tab/>
        <w:t>W ramach interwencji w obszarze e – usług publicznych wsparciem objęte będą usługi gwarantujące pełną dostępność on-line (minimum na 4 poziomie dojrzałości e-usługi publicznej).</w:t>
      </w:r>
      <w:r>
        <w:br/>
        <w:t>10.</w:t>
      </w:r>
      <w:r>
        <w:tab/>
        <w:t>Inwestowanie w twardą infrastrukturę (dostosowanie techniczne niezbędne do prawidłowego działania instalacji informatycznej) możliwe będzie jedynie, o ile warunkuje to realizacja celów projektu, zaś przeprowadzona analiza wykazuje niedostępność zasobów.</w:t>
      </w:r>
      <w:r>
        <w:br/>
      </w:r>
      <w:r>
        <w:lastRenderedPageBreak/>
        <w:t>11.</w:t>
      </w:r>
      <w:r>
        <w:tab/>
        <w:t>Wsparcie nowych e-usług powinno być poprzedzone analizą kosztów i korzyści oraz opierać się na rozwiązaniach już istniejących lub planowanych na szczeblu ogólnokrajowym lub regionalnym (jeżeli takie zostały udostępnione).</w:t>
      </w:r>
      <w:r>
        <w:br/>
        <w:t>12.</w:t>
      </w:r>
      <w:r>
        <w:tab/>
        <w:t>Premiowane będzie wykorzystywanie w projektach innowacyjnych rozwiązań dotyczących funkcjonalności/sposobów dostępu do e-usług np. aplikacje na urządzenia mobilne, wirtualni asystenci, helpdeski, udostępnianie publicznych danych np. poprzez interfejs programowania aplikacji.</w:t>
      </w:r>
      <w:r>
        <w:br/>
        <w:t>13. Przewidywane wsparcie z Budżetu Państwa w ramach środków określonych w Kontrakcie Programowym dla Województwa Lubelskiego.</w:t>
      </w:r>
    </w:p>
    <w:p w14:paraId="240F1E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E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E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E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1E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E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1E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E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1E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E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1E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E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E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E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1E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E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5%; 1% - projekty współfinansowane z Budżetu Państwa; Projekty w części objętej pomocą publiczną: zgodnie z programami pomocy publicznej</w:t>
      </w:r>
    </w:p>
    <w:p w14:paraId="240F1E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E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1E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E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1E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E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Służby publiczne</w:t>
      </w:r>
    </w:p>
    <w:p w14:paraId="240F1E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E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będący użytkownikami e-usług, mieszkańcy regionu korzystający z rezultatów projektu, przedsiębiorcy będący użytkownikami e-usług, turyści będący użytkownikami e-usług</w:t>
      </w:r>
    </w:p>
    <w:p w14:paraId="240F1E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E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aplikacja, cyberbezpieczeństwo, cyfryzacja, digitalizacja, e-administracja, e-urząd, internet, kompetencje_cyfrowe, licencje, oprogramowanie</w:t>
      </w:r>
    </w:p>
    <w:p w14:paraId="240F1E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E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E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E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WLWK-RCO014 - Instytucje publiczne otrzymujące wsparcie na opracowywanie usług, produktów i procesów cyfrowych</w:t>
      </w:r>
    </w:p>
    <w:p w14:paraId="240F1E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WLWK-PLRO013 - Liczba osób objętych szkoleniami w zakresie kompetencji cyfrowych</w:t>
      </w:r>
    </w:p>
    <w:p w14:paraId="240F1E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WLWK-PLRO010 - Liczba podmiotów, które udostępniły informacje sektora publicznego/dane prywatne on-line</w:t>
      </w:r>
    </w:p>
    <w:p w14:paraId="240F1E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WLWK-PLRO014 - Liczba podmiotów wspartych w zakresie cyberbezpieczeństwa</w:t>
      </w:r>
    </w:p>
    <w:p w14:paraId="240F1E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WLWK-PLRO008 - Liczba podmiotów wspartych w zakresie rozwoju usług, produktów i procesów cyfrowych</w:t>
      </w:r>
    </w:p>
    <w:p w14:paraId="240F1E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E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WLWK-PLRO160 - Liczba rozwiązań wykorzystujących informacje sektora publicznego/dane prywatne</w:t>
      </w:r>
    </w:p>
    <w:p w14:paraId="240F1E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WLWK-PLRO012 - Liczba usług publicznych udostępnionych on-line o stopniu dojrzałości co najmniej 4 - transakcja</w:t>
      </w:r>
    </w:p>
    <w:p w14:paraId="240F1E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E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WLWK-RCR011 - Użytkownicy nowych i zmodernizowanych publicznych usług, produktów i procesów cyfrowych</w:t>
      </w:r>
    </w:p>
    <w:p w14:paraId="240F1E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PROG-FELCR04 - Powierzchnia obszaru województwa objęta cyfrową ewidencją gruntów i budynków</w:t>
      </w:r>
    </w:p>
    <w:p w14:paraId="240F1E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E8B"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1" w:name="_Toc241668175"/>
      <w:r>
        <w:rPr>
          <w:rFonts w:ascii="Calibri" w:hAnsi="Calibri" w:cs="Calibri"/>
          <w:sz w:val="32"/>
        </w:rPr>
        <w:t>Działanie FELU.02.02 Cyfrowe Lubelskie w ramach Zintegrowanych Inwestycji Terytorialnych Miejskich Obszarów Funkcjonalnych</w:t>
      </w:r>
      <w:bookmarkEnd w:id="11"/>
    </w:p>
    <w:p w14:paraId="240F1E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E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 - Czerpanie korzyści z cyfryzacji dla obywateli, przedsiębiorstw, organizacji badawczych i instytucji publicznych</w:t>
      </w:r>
    </w:p>
    <w:p w14:paraId="240F1E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E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11 850 000,00</w:t>
      </w:r>
    </w:p>
    <w:p w14:paraId="240F1E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E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11 257 500,00</w:t>
      </w:r>
    </w:p>
    <w:p w14:paraId="240F1E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E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016 - Rozwiązania TIK, usługi elektroniczne, aplikacje dla administracji, 017 - Rozwiązania TIK, usługi elektroniczne, aplikacje dla administracji zgodne z kryteriami redukcji emisji gazów cieplarnianych lub kryteriami efektywności energetycznej</w:t>
      </w:r>
    </w:p>
    <w:p w14:paraId="240F1E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E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Rozwój elektronicznych usług publicznych na poziomie regionalnym i lokalnym (tworzenie, cyfryzacja nowych usług, poprawa funkcjonalności i e-dojrzałości istniejących usług, integracja usług, tworzenie i rozwijanie platform służących udostępnianiu usług, rozwój infrastruktury informatycznej jednostek, wsparcie rozwoju systemów elektronicznego zarządzania dokumentacją, rejestrów publicznych, aplikacji i systemów bazodanowych).</w:t>
      </w:r>
      <w:r>
        <w:br/>
        <w:t>2.</w:t>
      </w:r>
      <w:r>
        <w:tab/>
        <w:t>Udostępnienie informacji sektora publicznego oraz cyfrowych zasobów pozostających w dyspozycji podmiotów spoza sektora publicznego w zakresie zasobów naukowych, kulturowych i administracji (digitalizacja i udostępnianie zasobów w formie otwartych danych, rozwój repozytoriów cyfrowych wraz z infrastrukturą dla bezpiecznego i długoterminowego przechowywania zasobów, tworzenie i rozwijanie platform służących udostępnianiu zasobów cyfrowych w sposób otwarty pozwalający na ponowne wykorzystanie i dalsze przetwarzanie oraz tworzenie aplikacji w oparciu o udostępnione cyfrowo ISP).</w:t>
      </w:r>
      <w:r>
        <w:br/>
        <w:t>3.</w:t>
      </w:r>
      <w:r>
        <w:tab/>
        <w:t>Projekty z zakresu infrastruktury informacji przestrzennej.</w:t>
      </w:r>
      <w:r>
        <w:br/>
        <w:t>4.</w:t>
      </w:r>
      <w:r>
        <w:tab/>
        <w:t xml:space="preserve">Projekty z zakresu rozwoju cyberbezpieczeństwa, tj. wzmacniające bezpieczeństwo świadczenia </w:t>
      </w:r>
      <w:r>
        <w:lastRenderedPageBreak/>
        <w:t>e-usług lub systemów informatycznych poprzez budowę lub modernizację istniejących systemów, o zasięgu regionalnym i lokalnym.</w:t>
      </w:r>
      <w:r>
        <w:br/>
        <w:t>Wsparcie rozwoju kompetencji cyfrowych pracowników instytucji sektora publicznego w tym zaawansowanych kompetencji kadr z zakresu cyberbezpieczeństwa jako element każdego z typów projektów, realizowanych w ramach Działania 2.2.</w:t>
      </w:r>
      <w:r>
        <w:br/>
        <w:t>Ad.2</w:t>
      </w:r>
      <w:r>
        <w:br/>
        <w:t>-</w:t>
      </w:r>
      <w:r>
        <w:tab/>
        <w:t>Warunkiem wsparcia projektów z zakresu udostępnienia informacji sektora publicznego, będzie zgodność projektów z Dyrektywą w sprawie otwartych danych i ponownego wykorzystywania informacji sektora publicznego (Dyrektywa (UE) 2019/1024). W szczególności zbiory danych o wysokiej wartości powinny być udostępnione bezpłatnie, w formacie nadającym się do odczytu maszynowego, udostępnianego za pośrednictwem interfejsów API oraz w odpowiednich przypadkach, udostępnianego do zbiorczego pobrania.</w:t>
      </w:r>
      <w:r>
        <w:br/>
        <w:t>-</w:t>
      </w:r>
      <w:r>
        <w:tab/>
        <w:t>Premiowane będą projekty dostosowujące do Zaleceń w sprawie wspólnej europejskiej przestrzeni danych na potrzeby dziedzictwa kulturowego (Zalecenie Komisji (UE) 2021/1970) które: i) torują drogę dla wspólnej europejskiej przestrzeni danych dla dziedzictwa kulturowego, ii) mają zapewnić przepływ wysokiej jakości danych między instytucjami dziedzictwa kulturowego, MŚP, przedsiębiorstwami typu start-up i twórcami oraz iii) mają zwiększyć ponowne wykorzystanie zdigitalizowanych zasobów dziedzictwa kulturowego w innych dziedzinach.</w:t>
      </w:r>
      <w:r>
        <w:br/>
        <w:t>Ad.4</w:t>
      </w:r>
      <w:r>
        <w:br/>
        <w:t>-</w:t>
      </w:r>
      <w:r>
        <w:tab/>
        <w:t>Projekty z zakresu rozwoju cyberbezpieczeństwa, mogą występować jedynie jako dodatkowy element szerszego projektu w ramach Działania 2.2.</w:t>
      </w:r>
      <w:r>
        <w:br/>
        <w:t>Kluczowe warunki realizacji projektów:</w:t>
      </w:r>
      <w:r>
        <w:br/>
        <w:t>1.</w:t>
      </w:r>
      <w:r>
        <w:tab/>
        <w:t>Szczegółowe zasady kwalifikowalności wydatków określone zostaną w Regulaminie wyboru projektów.</w:t>
      </w:r>
      <w:r>
        <w:br/>
        <w:t>2.</w:t>
      </w:r>
      <w:r>
        <w:tab/>
        <w:t>Realizowane przedsięwzięcia muszą zostać zidentyfikowane w strategii terytorialnej będącej podstawą realizacji Zintegrowanych Inwestycji Terytorialnych, pozytywnie zaopiniowanej pod kątem możliwości jej finansowania w ramach Programu, przez IZ.</w:t>
      </w:r>
      <w:r>
        <w:br/>
        <w:t>3.</w:t>
      </w:r>
      <w:r>
        <w:tab/>
        <w:t>Realizowane inwestycje muszą mieć charakter zintegrowany, tj. muszą wpisywać się w cele rozwoju obszaru funkcjonalnego objętego instrumentem i być ukierunkowane na rozwiązywanie wspólnych problemów rozwojowych – oznacza to, że projekt taki musi mieć wpływ na więcej niż 1 gminę w MOF oraz jego realizacja musi być uzasadniona zarówno w części diagnostycznej, jak i w części kierunkowej strategii. Inwestycje te muszą spełniać jeden z następujących warunków: muszą być projektem partnerskim w rozumieniu art. 39 ustawy wdrożeniowej lub deklarowany powinien być wspólny efekt, rezultat lub produkt końcowy projektu, tj. wspólne wykorzystanie stworzonej w jego ramach infrastruktury.</w:t>
      </w:r>
      <w:r>
        <w:br/>
        <w:t>4.</w:t>
      </w:r>
      <w:r>
        <w:tab/>
        <w:t>Warunkiem wsparcia nowych lub zmodernizowanych e-usług publicznych będzie ich komplementarność z istniejącymi i planowanymi e-usługami (na poziomie regionalnym i krajowym) i interoperacyjność a także zgodność z założeniami Architektury Informacyjnej Państwa (https://www.gov.pl/web/krmc/rekomendacje-rady-architektury-it-zespolu-zadaniowego-krmc-w-sprawie-pryncypiow-architektury-informacyjnej-wraz-z-zaleceniami-za-podstawe-budowy-interoperacyjnych-rozwiazan-teleinformatycznych-i-swiadczenia-uslug-w-administracji-rzadowej-ich-publikacje-i-wskazanie-koniecznosci-stosowania-przez-jednostki-administracji-rzadowej).</w:t>
      </w:r>
      <w:r>
        <w:br/>
      </w:r>
      <w:r>
        <w:lastRenderedPageBreak/>
        <w:t>5.</w:t>
      </w:r>
      <w:r>
        <w:tab/>
        <w:t>Projekty będą realizowane zgodnie z zasadami wskazanymi w Programie Zintegrowanej Informatyzacji Państwa oraz Deklaracji tallińskiej, w tym: domyślności cyfrowej, jednorazowości, powszechności i dostępności, otwartości i przejrzystości, domyślnej transgraniczności i interoperacyjności oraz niezawodności i bezpieczeństwa.</w:t>
      </w:r>
      <w:r>
        <w:br/>
        <w:t>6.</w:t>
      </w:r>
      <w:r>
        <w:tab/>
        <w:t>Preferowane będą projekty wykorzystujące model „chmury obliczeniowej”.</w:t>
      </w:r>
      <w:r>
        <w:br/>
        <w:t>7.</w:t>
      </w:r>
      <w:r>
        <w:tab/>
        <w:t>Zakup sprzętu informatycznego, możliwy będzie jako element uzupełniający projekt, niezbędny do budowy, rozbudowy bądź modernizacji systemu teleinformatycznego, pod warunkiem, że przeprowadzona analiza wskazała niedostępność zasobów.</w:t>
      </w:r>
      <w:r>
        <w:br/>
        <w:t>8.</w:t>
      </w:r>
      <w:r>
        <w:tab/>
        <w:t>Wsparcie kompetencji cyfrowych kadr zaangażowanych w świadczenie usług, produktów lub procesów cyfrowych, przyczyniających się do wzmocnienia efektów operacji, w szczególności w obszarze cyberbezpieczeństwa, realizowane będzie w ramach finansowania krzyżowego do wysokości 15% współfinansowania unijnego.</w:t>
      </w:r>
      <w:r>
        <w:br/>
        <w:t>9.</w:t>
      </w:r>
      <w:r>
        <w:tab/>
        <w:t>W ramach interwencji w obszarze e – usług publicznych wsparciem objęte będą usługi gwarantujące pełną dostępność on-line (minimum na 4 poziomie dojrzałości e-usługi publicznej).</w:t>
      </w:r>
      <w:r>
        <w:br/>
        <w:t>10.</w:t>
      </w:r>
      <w:r>
        <w:tab/>
        <w:t>Inwestowanie w twardą infrastrukturę (dostosowanie techniczne niezbędne do prawidłowego działania instalacji informatycznej) możliwe będzie jedynie, o ile warunkuje to realizacja celów projektu, zaś przeprowadzona analiza wykazuje niedostępność zasobów.</w:t>
      </w:r>
      <w:r>
        <w:br/>
        <w:t>11.</w:t>
      </w:r>
      <w:r>
        <w:tab/>
        <w:t>Wsparcie nowych e-usług powinno być poprzedzone analizą kosztów i korzyści oraz opierać się na rozwiązaniach już istniejących lub planowanych na szczeblu ogólnokrajowym lub regionalnym (jeżeli takie zostały udostępnione).</w:t>
      </w:r>
      <w:r>
        <w:br/>
        <w:t>12.</w:t>
      </w:r>
      <w:r>
        <w:tab/>
        <w:t>Premiowane będzie wykorzystywanie w projektach innowacyjnych rozwiązań dotyczących funkcjonalności/sposobów dostępu do e-usług np. aplikacje na urządzenia mobilne, wirtualni asystenci, helpdeski, udostępnianie publicznych danych np. poprzez interfejs programowania aplikacji.</w:t>
      </w:r>
    </w:p>
    <w:p w14:paraId="240F1E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E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1E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E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1E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E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1E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E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1E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E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1E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E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E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E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1E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E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Projekty w części objętej pomocą publiczną: zgodnie z programami pomocy publicznej</w:t>
      </w:r>
    </w:p>
    <w:p w14:paraId="240F1E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E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1E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E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1E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E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Służby publiczne, Zintegrowane Inwestycje Terytorialne (ZIT)</w:t>
      </w:r>
    </w:p>
    <w:p w14:paraId="240F1E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E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1E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E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aplikacja, cyberbezpieczeństwo, cyfryzacja, digitalizacja, e-administracja, e-urząd, kompetencje_cyfrowe, licencje, oprogramowanie, Zintegrowane_Inwestycje_Terytorialne</w:t>
      </w:r>
    </w:p>
    <w:p w14:paraId="240F1E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E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E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E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WLWK-RCO014 - Instytucje publiczne otrzymujące wsparcie na opracowywanie usług, produktów i procesów cyfrowych</w:t>
      </w:r>
    </w:p>
    <w:p w14:paraId="240F1E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WLWK-PLRO013 - Liczba osób objętych szkoleniami w zakresie kompetencji cyfrowych</w:t>
      </w:r>
    </w:p>
    <w:p w14:paraId="240F1E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WLWK-PLRO010 - Liczba podmiotów, które udostępniły informacje sektora publicznego/dane prywatne on-line</w:t>
      </w:r>
    </w:p>
    <w:p w14:paraId="240F1E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WLWK-PLRO014 - Liczba podmiotów wspartych w zakresie cyberbezpieczeństwa</w:t>
      </w:r>
    </w:p>
    <w:p w14:paraId="240F1E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WLWK-PLRO008 - Liczba podmiotów wspartych w zakresie rozwoju usług, produktów i procesów cyfrowych</w:t>
      </w:r>
    </w:p>
    <w:p w14:paraId="240F1E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E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WLWK-PLRO160 - Liczba rozwiązań wykorzystujących informacje sektora publicznego/dane prywatne</w:t>
      </w:r>
    </w:p>
    <w:p w14:paraId="240F1E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WLWK-PLRO012 - Liczba usług publicznych udostępnionych on-line o stopniu dojrzałości co najmniej 4 - transakcja</w:t>
      </w:r>
    </w:p>
    <w:p w14:paraId="240F1E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1E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1E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E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WLWK-RCR011 - Użytkownicy nowych i zmodernizowanych publicznych usług, produktów i procesów cyfrowych</w:t>
      </w:r>
    </w:p>
    <w:p w14:paraId="240F1E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EC0"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2" w:name="_Toc241668176"/>
      <w:r>
        <w:rPr>
          <w:rFonts w:ascii="Calibri" w:hAnsi="Calibri" w:cs="Calibri"/>
          <w:sz w:val="32"/>
        </w:rPr>
        <w:t>Działanie FELU.02.03 Cyfrowe Lubelskie w ochronie zdrowia</w:t>
      </w:r>
      <w:bookmarkEnd w:id="12"/>
    </w:p>
    <w:p w14:paraId="240F1E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E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 - Czerpanie korzyści z cyfryzacji dla obywateli, przedsiębiorstw, organizacji badawczych i instytucji publicznych</w:t>
      </w:r>
    </w:p>
    <w:p w14:paraId="240F1E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E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14 134 106,00</w:t>
      </w:r>
    </w:p>
    <w:p w14:paraId="240F1E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E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13 427 400,00</w:t>
      </w:r>
    </w:p>
    <w:p w14:paraId="240F1E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E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019 - Usługi i aplikacje w zakresie e-zdrowia (w tym e-opieka, internet rzeczy w zakresie aktywności fizycznej i nowoczesnych technologii w służbie osobom starszym)</w:t>
      </w:r>
    </w:p>
    <w:p w14:paraId="240F1E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E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 xml:space="preserve">Projekty z zakresu usług e-zdrowia oraz informatyzacji jednostek w sektorze ochrony zdrowia </w:t>
      </w:r>
      <w:r>
        <w:lastRenderedPageBreak/>
        <w:t>mające na celu zapewnienie interoperacyjności i integrację systemów informatycznych świadczeniodawców z centralną architekturą informatyczną e-zdrowia, w tym: wsparcie rozwoju elektronicznej dokumentacji medycznej, rozwiązań z zakresu telemedycyny, sztucznej inteligencji oraz cyfryzacji procesów back-office i rozwoju infrastruktury informatycznej służącej poprawie dojrzałości cyfrowej placówek medycznych.</w:t>
      </w:r>
      <w:r>
        <w:br/>
        <w:t>2.</w:t>
      </w:r>
      <w:r>
        <w:tab/>
        <w:t>Projekty z zakresu rozwoju cyberbezpieczeństwa, tj. wzmacniające bezpieczeństwo świadczenia e-usług lub systemów informatycznych poprzez budowę lub modernizację istniejących systemów, o zasięgu regionalnym i lokalnym.</w:t>
      </w:r>
      <w:r>
        <w:br/>
        <w:t>Wsparcie rozwoju kompetencji cyfrowych pracowników w tym zaawansowanych kompetencji kadr z zakresu cyberbezpieczeństwa jako element projektów, realizowanych w ramach Działania 2.3.</w:t>
      </w:r>
      <w:r>
        <w:br/>
        <w:t>Ad. 2</w:t>
      </w:r>
      <w:r>
        <w:br/>
        <w:t>-</w:t>
      </w:r>
      <w:r>
        <w:tab/>
        <w:t>Projekty z zakresu rozwoju cyberbezpieczeństwa, mogą występować jedynie jako dodatkowy element szerszego projektu w ramach Działania 2.3.</w:t>
      </w:r>
      <w:r>
        <w:br/>
        <w:t>Kluczowe warunki realizacji projektów:</w:t>
      </w:r>
      <w:r>
        <w:br/>
        <w:t>1. Szczegółowe zasady kwalifikowalności wydatków określone zostaną w Regulaminie wyboru projektów.</w:t>
      </w:r>
      <w:r>
        <w:br/>
        <w:t>2. Warunkiem wsparcia projektów z zakresu e-zdrowia, których wartość wynosi minimum 2 mln zł, będzie posiadanie przez wnioskodawcę pozytywnej opinii ministra właściwego ds. zdrowia w zakresie zgodności projektu z dokumentami strategicznymi i programowymi w obszarze zdrowia cyfrowego oraz jego komplementarności i interoperacyjności z rozwiązaniami centralnymi w zakresie e-zdrowia obowiązującymi na dzień złożenia wniosku o wydanie opinii.</w:t>
      </w:r>
      <w:r>
        <w:br/>
        <w:t>3. Planowane do wsparcia projekty, których wartość kosztorysowa na dzień złożenia wniosku przekracza 2 mln zł muszą posiadać stosowną opinię o celowości inwestycji (OCI), o której mowa w art. 95e ust. 1 ustawy dnia 27 sierpnia 2004 r. o świadczeniach opieki zdrowotnej finansowanych ze środków publicznych.</w:t>
      </w:r>
      <w:r>
        <w:tab/>
      </w:r>
      <w:r>
        <w:br/>
        <w:t>4. Przedsięwzięcia z zakresu e-zdrowia będą podlegały uzgodnieniom na forum Komitetu Sterującego zgodnie z przyjętym systemem koordynacji.</w:t>
      </w:r>
      <w:r>
        <w:br/>
        <w:t>5. Usługi z zakresu e-zdrowia powinny być realizowane zgodnie z Europejskim Formatem Wymiany Elektronicznej Dokumentacji Medycznej.</w:t>
      </w:r>
      <w:r>
        <w:br/>
        <w:t>6. Warunkiem wsparcia nowych lub zmodernizowanych e-usług publicznych będzie ich komplementarność z istniejącymi i planowanymi e-usługami (na poziomie regionalnym i krajowym) i interoperacyjność a także zgodność z założeniami Architektury Informacyjnej Państwa (https://www.gov.pl/web/krmc/rekomendacje-rady-architektury-it-zespolu-zadaniowego-krmc-w-sprawie-pryncypiow-architektury-informacyjnej-wraz-z-zaleceniami-za-podstawe-budowy-interoperacyjnych-rozwiazan-teleinformatycznych-i-swiadczenia-uslug-w-administracji-rzadowej-ich-publikacje-i-wskazanie-koniecznosci-stosowania-przez-jednostki-administracji-rzadowej).</w:t>
      </w:r>
      <w:r>
        <w:br/>
        <w:t>7. Projekty będą realizowane zgodnie z zasadami wskazanymi w Programie Zintegrowanej Informatyzacji Państwa oraz Deklaracji tallińskiej, w tym: domyślności cyfrowej, jednorazowości, powszechności i dostępności, otwartości i przejrzystości, domyślnej transgraniczności i interoperacyjności oraz niezawodności i bezpieczeństwa.</w:t>
      </w:r>
      <w:r>
        <w:br/>
        <w:t>8. Preferowane będą projekty wykorzystujące model „chmury obliczeniowej”.</w:t>
      </w:r>
      <w:r>
        <w:br/>
        <w:t xml:space="preserve">9. Zakup sprzętu informatycznego, możliwy będzie jako element uzupełniający projekt, niezbędny do budowy, rozbudowy bądź modernizacji systemu teleinformatycznego, pod warunkiem, że </w:t>
      </w:r>
      <w:r>
        <w:lastRenderedPageBreak/>
        <w:t>przeprowadzona analiza wykazuje niedostępność zasobów.</w:t>
      </w:r>
      <w:r>
        <w:br/>
        <w:t>10. Wsparcie kompetencji cyfrowych kadr zaangażowanych w świadczenie usług, produktów lub procesów cyfrowych, przyczyniających się do wzmocnienia efektów operacji, w szczególności w obszarze cyberbezpieczeństwa, realizowane będzie w ramach finansowania krzyżowego do wysokości 15% współfinansowania unijnego.</w:t>
      </w:r>
      <w:r>
        <w:br/>
        <w:t>11. W ramach interwencji w obszarze e – usług publicznych wsparciem objęte będą usługi gwarantujące pełną dostępność on-line (minimum na 4 poziomie dojrzałości e-usługi publicznej).</w:t>
      </w:r>
      <w:r>
        <w:br/>
        <w:t>12. Inwestowanie w twardą infrastrukturę (dostosowanie techniczne niezbędne do prawidłowego działania instalacji informatycznej) możliwe będzie jedynie, o ile warunkuje to realizacja celów projektu, zaś przeprowadzona analiza wykazuje niedostępność zasobów.</w:t>
      </w:r>
      <w:r>
        <w:br/>
        <w:t>13. Wsparcie nowych e-usług powinno być poprzedzone analizą kosztów i korzyści oraz opierać się na rozwiązaniach już istniejących lub planowanych na szczeblu ogólnokrajowym lub regionalnym (jeżeli takie zostały udostępnione).</w:t>
      </w:r>
      <w:r>
        <w:br/>
        <w:t>14. Premiowane będzie wykorzystywanie w projektach innowacyjnych rozwiązań dotyczących funkcjonalności/sposobów dostępu do e-usług np. aplikacje na urządzenia mobilne, wirtualni asystenci, helpdeski, udostępnianie publicznych danych np. poprzez interfejs programowania aplikacji.</w:t>
      </w:r>
      <w:r>
        <w:br/>
        <w:t>15. Przewidywane wsparcie z Budżetu Państwa w ramach środków określonych w Kontrakcie Programowym dla Województwa Lubelskiego.</w:t>
      </w:r>
      <w:r>
        <w:br/>
      </w:r>
    </w:p>
    <w:p w14:paraId="240F1E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E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E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E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1E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E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1E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E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1E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Uproszczone metody rozliczania</w:t>
      </w:r>
    </w:p>
    <w:p w14:paraId="240F1E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1E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E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E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E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1E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E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1%-projekty współfinansowane z Budżetu Państwa; Projekty w części objętej pomocą publiczną: zgodnie z programami pomocy publicznej</w:t>
      </w:r>
    </w:p>
    <w:p w14:paraId="240F1E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E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1E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E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1E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E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ochrony zdrowia</w:t>
      </w:r>
    </w:p>
    <w:p w14:paraId="240F1E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E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będący użytkownikami e-usług, mieszkańcy regionu korzystający z rezultatów projektu</w:t>
      </w:r>
    </w:p>
    <w:p w14:paraId="240F1E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E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aplikacja, cyberbezpieczeństwo, cyfryzacja, e-zdrowie, internet, kompetencje_cyfrowe, licencje, oprogramowanie, systemy_informatyczne, telemedycyna</w:t>
      </w:r>
    </w:p>
    <w:p w14:paraId="240F1E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E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E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E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WLWK-RCO014 - Instytucje publiczne otrzymujące wsparcie na opracowywanie usług, produktów i procesów cyfrowych</w:t>
      </w:r>
    </w:p>
    <w:p w14:paraId="240F1E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WLWK-PLRO013 - Liczba osób objętych szkoleniami w zakresie kompetencji cyfrowych</w:t>
      </w:r>
    </w:p>
    <w:p w14:paraId="240F1E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WLWK-PLRO014 - Liczba podmiotów wspartych w zakresie cyberbezpieczeństwa</w:t>
      </w:r>
    </w:p>
    <w:p w14:paraId="240F1E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WLWK-PLRO008 - Liczba podmiotów wspartych w zakresie rozwoju usług, produktów i procesów cyfrowych</w:t>
      </w:r>
    </w:p>
    <w:p w14:paraId="240F1E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WLWK-PLRO199 - Liczba projektów, w których sfinansowano koszty racjonalnych usprawnień dla osób z niepełnosprawnościami (EFRR/FST/FS)</w:t>
      </w:r>
    </w:p>
    <w:p w14:paraId="240F1E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WLWK-PLRO012 - Liczba usług publicznych udostępnionych on-line o stopniu dojrzałości co najmniej 4 - transakcja</w:t>
      </w:r>
    </w:p>
    <w:p w14:paraId="240F1E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E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WLWK-RCR011 - Użytkownicy nowych i zmodernizowanych publicznych usług, produktów i procesów cyfrowych</w:t>
      </w:r>
    </w:p>
    <w:p w14:paraId="240F1E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EF1"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3" w:name="_Toc241668177"/>
      <w:r>
        <w:rPr>
          <w:rFonts w:ascii="Calibri" w:hAnsi="Calibri" w:cs="Calibri"/>
          <w:sz w:val="32"/>
        </w:rPr>
        <w:t>Działanie FELU.02.04 Cyfryzacja  lubelskich MŚP</w:t>
      </w:r>
      <w:bookmarkEnd w:id="13"/>
    </w:p>
    <w:p w14:paraId="240F1E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E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 - Czerpanie korzyści z cyfryzacji dla obywateli, przedsiębiorstw, organizacji badawczych i instytucji publicznych</w:t>
      </w:r>
    </w:p>
    <w:p w14:paraId="240F1E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1E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1E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E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19 736 842,00</w:t>
      </w:r>
    </w:p>
    <w:p w14:paraId="240F1E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E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18 750 000,00</w:t>
      </w:r>
    </w:p>
    <w:p w14:paraId="240F1E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E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013 - Cyfryzacja MŚP (w tym handel elektroniczny, e-biznes i sieciowe procesy biznesowe, ośrodki innowacji cyfrowych, żywe laboratoria, przedsiębiorcy internetowi i przedsiębiorstwa ICT typu start-up, usługi B2B)</w:t>
      </w:r>
    </w:p>
    <w:p w14:paraId="240F1E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E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Projekty w zakresie transformacji cyfrowej MŚP, jako dodatkowy element projektów wsparcie rozwoju kompetencji cyfrowych.</w:t>
      </w:r>
      <w:r>
        <w:br/>
        <w:t xml:space="preserve">Wsparciem zostanie objęte wdrożenie specjalistycznych rozwiązań cyfrowych (rozwiązania „szyte na miarę”), a w szczególności zmiana modeli biznesowych w kierunku Przemysłu 4.0 i gospodarki opartej na danych, cyfryzacja przedsiębiorstw, zwiększenie wykorzystania systemów procesowych, wsparcie przestawienia się firm na cyfrowy łańcuch dostaw i wprowadzanie produktów i usług opartych na TIK do codziennej działalności, digitalizację procesów eksportowych, wzmocnienie potencjału przedsiębiorstw do ponownego wykorzystania informacji lub współdzielenia zasobów przedsiębiorstw, wsparcie </w:t>
      </w:r>
      <w:r>
        <w:lastRenderedPageBreak/>
        <w:t>rozwiązań w zakresie cyberbezpieczeństwa.</w:t>
      </w:r>
      <w:r>
        <w:br/>
        <w:t>Kluczowe warunki realizacji projektów:</w:t>
      </w:r>
      <w:r>
        <w:br/>
        <w:t>1.</w:t>
      </w:r>
      <w:r>
        <w:tab/>
        <w:t>Szczegółowe zasady kwalifikowalności wydatków określone zostaną w Regulaminie wyboru projektów.</w:t>
      </w:r>
      <w:r>
        <w:br/>
        <w:t>2.</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3.</w:t>
      </w:r>
      <w:r>
        <w:tab/>
        <w:t>W ramach projektów w zakresie transformacji cyfrowej MŚP będzie możliwe jedynie wdrożenie specjalistycznych rozwiązań cyfrowych dopasowanych do potrzeb przedsiębiorstwa.</w:t>
      </w:r>
      <w:r>
        <w:br/>
        <w:t>4.</w:t>
      </w:r>
      <w:r>
        <w:tab/>
        <w:t>Z możliwości uzyskania wsparcia wykluczone będą wydatki na zakup oprogramowania biurowego, księgowego, systemy operacyjne wykorzystujące powszechnie znane i dostępne technologie.</w:t>
      </w:r>
      <w:r>
        <w:br/>
        <w:t>5.</w:t>
      </w:r>
      <w:r>
        <w:tab/>
        <w:t>W ramach Działania zastosowane będą preferencje dla projektów zawierających elementy współpracy ponadregionalnej, transgranicznej lub ponadnarodowej.</w:t>
      </w:r>
      <w:r>
        <w:br/>
        <w:t>6.</w:t>
      </w:r>
      <w:r>
        <w:tab/>
        <w:t>Wsparcie w ramach Działania jest zgodne z Wytycznymi dotyczącymi realizacji zasad równościowych w ramach funduszy unijnych na lata 2021-2027.</w:t>
      </w:r>
    </w:p>
    <w:p w14:paraId="240F1E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E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F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F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F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F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1F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F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Rozporządzenie Ministra Funduszy i Polityki Regionalnej z dnia 11 października 2022 r. w sprawie udzielania regionalnej pomocy inwestycyjnej w ramach programów regionalnych na lata 2021–2027 (Dz. U. z 2026 r., poz. 916), Rozporządzenie Ministra Funduszy i Polityki Regionalnej z dnia 12 lipca 2023 r. w sprawie udzielania mikroprzedsiębiorcom, małym lub średnim przedsiębiorcom pomocy na usługi doradcze oraz na udział w targach w ramach regionalnych programów na lata 2021–2027 (Dz.U. 2023 poz. 1399), Rozporządzenie Ministra Funduszy i Polityki Regionalnej z dnia 17 kwietnia 2024 r. w sprawie </w:t>
      </w:r>
      <w:r>
        <w:lastRenderedPageBreak/>
        <w:t>udzielania pomocy de minimis w ramach regionalnych programów na lata 2021–2027 (Dz.U. 2024 poz. 598)</w:t>
      </w:r>
    </w:p>
    <w:p w14:paraId="240F1F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F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40F1F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F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F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F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1F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F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objętej pomocą publiczną: zgodnie z programami pomocy publicznej; Projekty w części objętej pomocą de minimis: zgodnie z Regulaminem wyboru projektów, jednakże nie mniej niż 5%</w:t>
      </w:r>
    </w:p>
    <w:p w14:paraId="240F1F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F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1F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F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1F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F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Przedsiębiorstwa</w:t>
      </w:r>
    </w:p>
    <w:p w14:paraId="240F1F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F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małe przedsiębiorstwa, mikroprzedsiębiorstwa, pracownicy, średnie przedsiębiorstwa</w:t>
      </w:r>
    </w:p>
    <w:p w14:paraId="240F1F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F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cyfryzacja, kompetencje_cyfrowe, TIK, transformacja_cyfrowa</w:t>
      </w:r>
    </w:p>
    <w:p w14:paraId="240F1F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1F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Małe, Mikro, Średnie</w:t>
      </w:r>
    </w:p>
    <w:p w14:paraId="240F1F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F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F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F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WLWK-PLRO013 - Liczba osób objętych szkoleniami w zakresie kompetencji cyfrowych</w:t>
      </w:r>
    </w:p>
    <w:p w14:paraId="240F1F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WLWK-PLRO014 - Liczba podmiotów wspartych w zakresie cyberbezpieczeństwa</w:t>
      </w:r>
    </w:p>
    <w:p w14:paraId="240F1F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F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WLWK-PLRO009 - Liczba przedsiębiorstw otrzymujących wsparcie w zakresie technologii cyfrowych</w:t>
      </w:r>
    </w:p>
    <w:p w14:paraId="240F1F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1F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1F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1F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240F1F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WLWK-RCO013 - Wartość usług, produktów i procesów cyfrowych opracowanych dla przedsiębiorstw</w:t>
      </w:r>
    </w:p>
    <w:p w14:paraId="240F1F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F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WLWK-PLRR031 - Liczba wprowadzonych innowacji organizacyjnych</w:t>
      </w:r>
    </w:p>
    <w:p w14:paraId="240F1F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WLWK-PLRR029 - Liczba wprowadzonych innowacji procesowych</w:t>
      </w:r>
    </w:p>
    <w:p w14:paraId="240F1F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WLWK-PLRR028 - Liczba wprowadzonych innowacji produktowych</w:t>
      </w:r>
    </w:p>
    <w:p w14:paraId="240F1F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WLWK-PLRR025 - Małe i średnie przedsiębiorstwa (MŚP) wprowadzające innowacje procesowe</w:t>
      </w:r>
    </w:p>
    <w:p w14:paraId="240F1F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WLWK-PLRR024 - Małe i średnie przedsiębiorstwa (MŚP) wprowadzające innowacje produktowe</w:t>
      </w:r>
    </w:p>
    <w:p w14:paraId="240F1F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WLWK-PLRR027 - MŚP wprowadzające innowacje organizacyjne</w:t>
      </w:r>
    </w:p>
    <w:p w14:paraId="240F1F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WLWK-RCR012 - Użytkownicy nowych i zmodernizowanych usług, produktów i procesów cyfrowych opracowanych przez przedsiębiorstwa</w:t>
      </w:r>
    </w:p>
    <w:p w14:paraId="240F1F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40F1F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F30"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4" w:name="_Toc241668178"/>
      <w:r>
        <w:rPr>
          <w:rFonts w:ascii="Calibri" w:hAnsi="Calibri" w:cs="Calibri"/>
          <w:sz w:val="32"/>
        </w:rPr>
        <w:t>Działanie FELU.02.05 Usługi dla MŚP</w:t>
      </w:r>
      <w:bookmarkEnd w:id="14"/>
    </w:p>
    <w:p w14:paraId="240F1F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F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EFRR.CP1.III - Wzmacnianie trwałego wzrostu i konkurencyjności MŚP oraz tworzenie miejsc pracy w MŚP, w tym poprzez inwestycje produkcyjne</w:t>
      </w:r>
    </w:p>
    <w:p w14:paraId="240F1F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1F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1F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F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4 868 421,00</w:t>
      </w:r>
    </w:p>
    <w:p w14:paraId="240F1F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F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4 625 000,00</w:t>
      </w:r>
    </w:p>
    <w:p w14:paraId="240F1F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F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024 - Zaawansowane usługi wsparcia dla MŚP i grup MŚP (w tym usługi w zakresie zarządzania, marketingu i projektowania)</w:t>
      </w:r>
    </w:p>
    <w:p w14:paraId="240F1F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lastRenderedPageBreak/>
        <w:t>Opis działania</w:t>
      </w:r>
    </w:p>
    <w:p w14:paraId="240F1F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Zapewnienie szerokiego wachlarza wysokiej jakości usług innowacyjnych dla MŚP prowadzących do zwiększenia ich konkurencyjności, produktywności, innowacyjnego rozwoju przy wykorzystaniu potencjału ośrodków innowacji, z uwzględnieniem dostępności odpowiedniej oferty usług, w tym dla przedsiębiorców mających siedzibę poza dużymi ośrodkami miejskimi.</w:t>
      </w:r>
      <w:r>
        <w:br/>
        <w:t>2.</w:t>
      </w:r>
      <w:r>
        <w:tab/>
        <w:t>Usługi inkubacyjne dla nowopowstałych firm.</w:t>
      </w:r>
      <w:r>
        <w:br/>
        <w:t>W zakresie 1 typu projektu wsparcie polegać będzie na zakupie od wyspecjalizowanych podmiotów zewnętrznych (ośrodki innowacji), tj. akredytowanych na poziomie kraju usług specjalistycznego proinnowacyjnego doradztwa, wpisującego się w funkcjonalności będące przedmiotem akredytacji, co pozwoli zapewnić właściwe standardy i odpowiednią jakość usług.</w:t>
      </w:r>
      <w:r>
        <w:br/>
        <w:t>Beneficjentem w ramach 2 typu projektów są instytucje otoczenia biznesu, świadczące usługi na rzecz MŚP, znajdujących się we wczesnej fazie rozwoju. Dzięki wsparciu nowopowstałe przedsiębiorstwa, zyskają przestrzeń dla prowadzenia działalności gospodarczej, jak również dostęp do usług wspomagających jej prowadzenie (usługi księgowe, doradztwo prawne oraz inne wspomagające działalność bieżącą podmiotów inkubowanych).</w:t>
      </w:r>
      <w:r>
        <w:br/>
        <w:t>Kluczowe warunki realizacji projektów:</w:t>
      </w:r>
      <w:r>
        <w:br/>
        <w:t>1.</w:t>
      </w:r>
      <w:r>
        <w:tab/>
        <w:t>Szczegółowe zasady kwalifikowalności wydatków określone zostaną w Regulaminie wyboru projektów.</w:t>
      </w:r>
      <w:r>
        <w:br/>
        <w:t>2.</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3.</w:t>
      </w:r>
      <w:r>
        <w:tab/>
        <w:t>Wsparcie potencjału instytucji otoczenia biznesu do świadczenia usług dla MŚP poprzedzone zostanie analizą potrzeb rynku oraz zapewniona zostanie spójna komunikacja dotycząca oferty IOB.</w:t>
      </w:r>
      <w:r>
        <w:br/>
        <w:t>4.</w:t>
      </w:r>
      <w:r>
        <w:tab/>
        <w:t>Wsparciem zostanie objęty wyłącznie zakup proinnowacyjnych specjalistycznych usług doradczych wspierających transformację technologiczną i/lub organizacyjną przedsiębiorstw, w tym w kierunku Przemysłu 4.0 i/lub gospodarki opartej na danych. Przez specjalistyczne usługi doradcze rozumie się usługi doradcze niemające charakteru ciągłego ani okresowego. Nie są one też związane ze zwykłymi kosztami operacyjnymi przedsiębiorstwa, takimi jak: rutynowe usługi doradztwa podatkowego, regularne usługi prawnicze lub reklama.</w:t>
      </w:r>
      <w:r>
        <w:br/>
        <w:t>5.</w:t>
      </w:r>
      <w:r>
        <w:tab/>
        <w:t>W ramach Działania zastosowane będą preferencje dla projektów zawierających elementy współpracy ponadregionalnej, transgranicznej lub ponadnarodowej.</w:t>
      </w:r>
      <w:r>
        <w:br/>
        <w:t>6.</w:t>
      </w:r>
      <w:r>
        <w:tab/>
        <w:t>Wsparcie w ramach Działania jest zgodne z Wytycznymi dotyczącymi realizacji zasad równościowych w ramach funduszy unijnych na lata 2021-2027.</w:t>
      </w:r>
    </w:p>
    <w:p w14:paraId="240F1F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F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F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240F1F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F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F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1F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F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12 lipca 2023 r. w sprawie udzielania mikroprzedsiębiorcom, małym lub średnim przedsiębiorcom pomocy na usługi doradcze oraz na udział w targach w ramach regionalnych programów na lata 2021–2027 (Dz.U. 2023 poz. 1399), Rozporządzenie Ministra Funduszy i Polityki Regionalnej z dnia 17 kwietnia 2024 r. w sprawie udzielania pomocy de minimis w ramach regionalnych programów na lata 2021–2027 (Dz.U. 2024 poz. 598)</w:t>
      </w:r>
    </w:p>
    <w:p w14:paraId="240F1F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F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240F1F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F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F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F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1F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F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objętej pomocą publiczną: zgodnie z programami pomocy publicznej; Projekty w części nieobjętej pomocą publiczną: zgodnie z Regulaminem wyboru projektów, jednakże nie mniej niż 5%</w:t>
      </w:r>
    </w:p>
    <w:p w14:paraId="240F1F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F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1F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F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1F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F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Przedsiębiorstwa</w:t>
      </w:r>
    </w:p>
    <w:p w14:paraId="240F1F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Grupa docelowa</w:t>
      </w:r>
    </w:p>
    <w:p w14:paraId="240F1F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małe przedsiębiorstwa, mikroprzedsiębiorstwa, pracownicy, średnie przedsiębiorstwa</w:t>
      </w:r>
    </w:p>
    <w:p w14:paraId="240F1F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F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cyfryzacja, doradztwo_biznesowe, ekogospodarka, inkubacja, innowacja, IOB, kwalifikacje, start-up, transformacja, zrownoważony_rozwój</w:t>
      </w:r>
    </w:p>
    <w:p w14:paraId="240F1F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1F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Małe, Mikro, Średnie</w:t>
      </w:r>
    </w:p>
    <w:p w14:paraId="240F1F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F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F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F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F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WLWK-PLRO009 - Liczba przedsiębiorstw otrzymujących wsparcie w zakresie technologii cyfrowych</w:t>
      </w:r>
    </w:p>
    <w:p w14:paraId="240F1F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WLWK-PLRO006 - Liczba przedsiębiorstw otrzymujących wsparcie w zakresie transformacji w kierunku zrównoważonego rozwoju</w:t>
      </w:r>
    </w:p>
    <w:p w14:paraId="240F1F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1F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1F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1F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240F1F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WLWK-RCO004 - Przedsiębiorstwa otrzymujące wsparcie niefinansowe</w:t>
      </w:r>
    </w:p>
    <w:p w14:paraId="240F1F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WLWK-RCO015 - Wytworzona zdolność inkubacji przedsiębiorstw</w:t>
      </w:r>
    </w:p>
    <w:p w14:paraId="240F1F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F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WLWK-PLRR025 - Małe i średnie przedsiębiorstwa (MŚP) wprowadzające innowacje procesowe</w:t>
      </w:r>
    </w:p>
    <w:p w14:paraId="240F1F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WLWK-PLRR024 - Małe i średnie przedsiębiorstwa (MŚP) wprowadzające innowacje produktowe</w:t>
      </w:r>
    </w:p>
    <w:p w14:paraId="240F1F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WLWK-RCR018 - MŚP korzystające z usług inkubatora przedsiębiorczości po jego utworzeniu</w:t>
      </w:r>
    </w:p>
    <w:p w14:paraId="240F1F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WLWK-PLRR027 - MŚP wprowadzające innowacje organizacyjne</w:t>
      </w:r>
    </w:p>
    <w:p w14:paraId="240F1F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WLWK-RCR005 - MŚP wprowadzające innowacje wewnątrz przedsiębiorstwa</w:t>
      </w:r>
    </w:p>
    <w:p w14:paraId="240F1F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40F1F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F6D"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5" w:name="_Toc241668179"/>
      <w:r>
        <w:rPr>
          <w:rFonts w:ascii="Calibri" w:hAnsi="Calibri" w:cs="Calibri"/>
          <w:sz w:val="32"/>
        </w:rPr>
        <w:lastRenderedPageBreak/>
        <w:t>Działanie FELU.02.06 Inwestycje rozwojowe w MŚP</w:t>
      </w:r>
      <w:bookmarkEnd w:id="15"/>
    </w:p>
    <w:p w14:paraId="240F1F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F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EFRR.CP1.III - Wzmacnianie trwałego wzrostu i konkurencyjności MŚP oraz tworzenie miejsc pracy w MŚP, w tym poprzez inwestycje produkcyjne</w:t>
      </w:r>
    </w:p>
    <w:p w14:paraId="240F1F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1F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1F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F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60 552 632,00</w:t>
      </w:r>
    </w:p>
    <w:p w14:paraId="240F1F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F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57 525 000,00</w:t>
      </w:r>
    </w:p>
    <w:p w14:paraId="240F1F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F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001 - Inwestycje w środki trwałe, w tym infrastrukturę badawczą, w mikroprzedsiębiorstwach bezpośrednio związane z działaniami badawczymi i innowacyjnymi, 002 - Inwestycje w środki trwałe, w tym infrastrukturę badawczą, w małych i średnich przedsiębiorstwach (w tym prywatnych organizacjach badawczych) bezpośrednio związane z działaniami badawczymi i innowacyjnymi, 005 - Inwestycje w wartości niematerialne i prawne w mikroprzedsiębiorstwach bezpośrednio związane z działaniami badawczymi i innowacyjnymi, 006 - Inwestycje w wartości niematerialne i prawne w MŚP (w tym prywatnych organizacjach badawczych) bezpośrednio związane z działaniami badawczymi i innowacyjnymi</w:t>
      </w:r>
    </w:p>
    <w:p w14:paraId="240F1F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F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Wsparcie dla MŚP dotyczące inwestycji początkowej, związanej z wyposażeniem/ doposażeniem przedsiębiorstwa w celu wprowadzenia na rynek nowych/udoskonalonych produktów/usług/ technologii, jako dodatkowy element projektów wsparcie zastosowania nowoczesnych technologii IT.</w:t>
      </w:r>
      <w:r>
        <w:br/>
        <w:t>2.</w:t>
      </w:r>
      <w:r>
        <w:tab/>
        <w:t>Wsparcie MŚP na wczesnym etapie rozwoju.</w:t>
      </w:r>
      <w:r>
        <w:br/>
        <w:t>W ramach działania wsparciem zostaną objęte inwestycje MŚP w rzeczowe aktywa trwałe lub wartości niematerialne i prawne. Interwencja ukierunkowana będzie przede wszystkim na inwestycje produkcyjne MŚP, wprowadzające innowacje produktowe, procesowe, marketingowe lub organizacyjne.</w:t>
      </w:r>
      <w:r>
        <w:br/>
        <w:t>W ramach 2 typu projektów możliwe będzie wsparcie MŚP na wczesnym etapie rozwoju, obejmujące inwestycje w infrastrukturę oraz nowoczesne technologie IT służące wprowadzeniu nowych produktów/usług/technologii, w tym wsparcie przedsiębiorstw powracających na rynek po uprzedniej likwidacji działalności.</w:t>
      </w:r>
      <w:r>
        <w:br/>
        <w:t>Kluczowe warunki realizacji projektów:</w:t>
      </w:r>
      <w:r>
        <w:br/>
        <w:t>1.</w:t>
      </w:r>
      <w:r>
        <w:tab/>
        <w:t>Ostatecznymi odbiorcami w ramach instrumentów finansowych będą wyłącznie mikro, małe i średnie przedsiębiorstwa.</w:t>
      </w:r>
      <w:r>
        <w:br/>
      </w:r>
      <w:r>
        <w:lastRenderedPageBreak/>
        <w:t>2.</w:t>
      </w:r>
      <w:r>
        <w:tab/>
        <w:t>Wsparcie w ramach Działania nie może być udzielone w zakresie w jakim jest wykluczone w art. 1 ust. 2 - 5 Rozporządzenia Komisji (UE) NR 651/2014 z dnia 17 czerwca 2014 r. uznającego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3.</w:t>
      </w:r>
      <w:r>
        <w:tab/>
        <w:t>Pomoc przyznawana jest na inwestycję początkową (zgodnie z definicją zawartą w Rozporządzeniu Komisji (UE) NR 651/2014 z dnia 17 czerwca 2014 r. uznającym niektóre rodzaje pomocy za zgodne z rynkiem wewnętrznym w zastosowaniu art. 107 i 108 Traktatu).</w:t>
      </w:r>
      <w:r>
        <w:br/>
        <w:t>4. Wsparcie w ramach Działania jest zgodne z Wytycznymi dotyczącymi realizacji zasad równościowych w ramach funduszy unijnych na lata 2021-2027.</w:t>
      </w:r>
    </w:p>
    <w:p w14:paraId="240F1F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F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F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F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F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F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1F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F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 Rozporządzenie Ministra Funduszy i Polityki Regionalnej z dnia 7 października 2022 r. w sprawie udzielania regionalnej pomocy inwestycyjnej w ramach celu polityki CP1 (iii) w zakresie wzmacniania trwałego wzrostu i konkurencyjności mikroprzedsiębiorców, małych i średnich przedsiębiorców oraz tworzenia miejsc pracy w mikroprzedsiębiorstwach, małych i średnich przedsiębiorstwach, w tym poprzez inwestycje produkcyjne w ramach regionalnych programów na lata 2021–2027 (Dz.U. 2024 poz. 1642)</w:t>
      </w:r>
    </w:p>
    <w:p w14:paraId="240F1F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F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40F1F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F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dotacje w ramach operacji instrumentu finansowego, Wsparcie poprzez instrumenty finansowe: pożyczka</w:t>
      </w:r>
    </w:p>
    <w:p w14:paraId="240F1F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240F1F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1F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F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nieobjętej pomocą publiczną: zgodnie z Regulaminem wyboru projektów, jednakże nie mniej niż 5%; Projekty w części objętej pomocą publiczną: zgodnie z programami pomocy publicznej</w:t>
      </w:r>
    </w:p>
    <w:p w14:paraId="240F1F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F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1F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F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1F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F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w:t>
      </w:r>
    </w:p>
    <w:p w14:paraId="240F1F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F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małe przedsiębiorstwa, mikroprzedsiębiorstwa, pracownicy, średnie przedsiębiorstwa</w:t>
      </w:r>
    </w:p>
    <w:p w14:paraId="240F1F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F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 innowacja, inwestycja, pożyczka_na_rozwój, pożyczki_dla_przedsiębiorstw, proces, produkt, start-up, transformacja, transformacja_cyfrowa</w:t>
      </w:r>
    </w:p>
    <w:p w14:paraId="240F1F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F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1F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F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1F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F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WLWK-PLRO009 - Liczba przedsiębiorstw otrzymujących wsparcie w zakresie technologii cyfrowych</w:t>
      </w:r>
    </w:p>
    <w:p w14:paraId="240F1F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1F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1F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1F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WLWK-RCO005 - Nowe przedsiębiorstwa objęte wsparciem</w:t>
      </w:r>
    </w:p>
    <w:p w14:paraId="240F1F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240F1F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F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WLWK-PLRR030 - Liczba wprowadzonych innowacji marketingowych</w:t>
      </w:r>
    </w:p>
    <w:p w14:paraId="240F1F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WLWK-PLRR031 - Liczba wprowadzonych innowacji organizacyjnych</w:t>
      </w:r>
    </w:p>
    <w:p w14:paraId="240F1F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WLWK-PLRR029 - Liczba wprowadzonych innowacji procesowych</w:t>
      </w:r>
    </w:p>
    <w:p w14:paraId="240F1F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WLWK-PLRR028 - Liczba wprowadzonych innowacji produktowych</w:t>
      </w:r>
    </w:p>
    <w:p w14:paraId="240F1F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WLWK-PLRR025 - Małe i średnie przedsiębiorstwa (MŚP) wprowadzające innowacje procesowe</w:t>
      </w:r>
    </w:p>
    <w:p w14:paraId="240F1F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WLWK-PLRR024 - Małe i średnie przedsiębiorstwa (MŚP) wprowadzające innowacje produktowe</w:t>
      </w:r>
    </w:p>
    <w:p w14:paraId="240F1F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WLWK-PLRR026 - MŚP wprowadzające innowacje marketingowe</w:t>
      </w:r>
    </w:p>
    <w:p w14:paraId="240F1F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WLWK-PLRR027 - MŚP wprowadzające innowacje organizacyjne</w:t>
      </w:r>
    </w:p>
    <w:p w14:paraId="240F1F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WLWK-PLRR033 - Przychody ze sprzedaży nowych lub udoskonalonych produktów/usług</w:t>
      </w:r>
    </w:p>
    <w:p w14:paraId="240F1F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240F1F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FAB"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6" w:name="_Toc241668180"/>
      <w:r>
        <w:rPr>
          <w:rFonts w:ascii="Calibri" w:hAnsi="Calibri" w:cs="Calibri"/>
          <w:sz w:val="32"/>
        </w:rPr>
        <w:t>Działanie FELU.02.07 Lubelskie MŚP na rynkach zagranicznych</w:t>
      </w:r>
      <w:bookmarkEnd w:id="16"/>
    </w:p>
    <w:p w14:paraId="240F1F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F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EFRR.CP1.III - Wzmacnianie trwałego wzrostu i konkurencyjności MŚP oraz tworzenie miejsc pracy w MŚP, w tym poprzez inwestycje produkcyjne</w:t>
      </w:r>
    </w:p>
    <w:p w14:paraId="240F1F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1F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1F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F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13 869 340,00</w:t>
      </w:r>
    </w:p>
    <w:p w14:paraId="240F1F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F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13 175 873,00</w:t>
      </w:r>
    </w:p>
    <w:p w14:paraId="240F1F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F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021 - Rozwój działalności i umiędzynarodowienie MŚP, w tym inwestycje produkcyjne</w:t>
      </w:r>
    </w:p>
    <w:p w14:paraId="240F1F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F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Kompleksowe wsparcie promocji oferty MŚP oraz ich internacjonalizacja, w powiązaniu z celami zidentyfikowanymi w strategii inteligentnej specjalizacji, począwszy od analizy możliwości wejścia na rynki zagraniczne, poprzez wsparcie w opracowaniu i wdrożeniu strategii wejścia przedsiębiorstwa na rynek zagraniczny, promocję oferty MŚP poprzez udział w targach, wystawach i misjach gospodarczych, tworzenie warunków dla rozwoju przedsiębiorczości oraz obsługi inwestora, a także rozwijanie zaawansowanych form współpracy międzynarodowej.</w:t>
      </w:r>
      <w:r>
        <w:br/>
      </w:r>
      <w:r>
        <w:lastRenderedPageBreak/>
        <w:t>Powyższe wsparcie będzie realizowane poprzez:</w:t>
      </w:r>
      <w:r>
        <w:br/>
        <w:t>1.</w:t>
      </w:r>
      <w:r>
        <w:tab/>
        <w:t>Działania skierowane do MŚP dotyczące udziału w targach, wystawach i misjach gospodarczych.</w:t>
      </w:r>
      <w:r>
        <w:br/>
        <w:t>2.</w:t>
      </w:r>
      <w:r>
        <w:tab/>
        <w:t>Projekt strategiczny ujęty w kontrakcie programowym dla WL pt. Marketing Gospodarczy Województwa Lubelskiego III (MGWL III).</w:t>
      </w:r>
      <w:r>
        <w:br/>
        <w:t xml:space="preserve">Kluczowe warunki realizacji projektów: </w:t>
      </w:r>
      <w:r>
        <w:br/>
        <w:t>1.</w:t>
      </w:r>
      <w:r>
        <w:tab/>
        <w:t>Szczegółowe zasady kwalifikowalności wydatków określone zostaną w Regulaminie wyboru projektów.</w:t>
      </w:r>
      <w:r>
        <w:br/>
        <w:t>2.</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3.</w:t>
      </w:r>
      <w:r>
        <w:tab/>
        <w:t>Preferencje uzyskają projekty dotyczące eksportu produktów i usług, w zakresie wysokiej techniki.</w:t>
      </w:r>
      <w:r>
        <w:br/>
        <w:t>4.</w:t>
      </w:r>
      <w:r>
        <w:tab/>
        <w:t>Interwencja w obszarze marketingu gospodarczego i umiędzynarodowienia będzie koncentrowała się na wsparciu i promocji MŚP (koordynacja działań systemowych w ramach projektu ujętego w kontrakcie programowym odbywać się będzie na rzecz MŚP).</w:t>
      </w:r>
      <w:r>
        <w:br/>
        <w:t>5.</w:t>
      </w:r>
      <w:r>
        <w:tab/>
        <w:t>W ramach promocji gospodarczej MŚP bezpośrednim i pośrednim adresatem wsparcia jest MŚP.</w:t>
      </w:r>
      <w:r>
        <w:br/>
        <w:t>6.</w:t>
      </w:r>
      <w:r>
        <w:tab/>
        <w:t xml:space="preserve">W ramach Działania zastosowane będą preferencje dla projektów zawierających elementy współpracy ponadregionalnej, transgranicznej lub ponadnarodowej. W wybranych naborach konkurencyjnych premiowani będą beneficjenci wykazujący się doświadczeniem i/lub zaangażowaniem w prowadzone działania współpracy międzyregionalnej, transgranicznej i transnarodowej. </w:t>
      </w:r>
      <w:r>
        <w:br/>
        <w:t>7.</w:t>
      </w:r>
      <w:r>
        <w:tab/>
        <w:t>Wsparcie w ramach Działania jest zgodne z Wytycznymi dotyczącymi realizacji zasad równościowych w ramach funduszy unijnych na lata 2021-2027.</w:t>
      </w:r>
      <w:r>
        <w:br/>
        <w:t>8. Przewidywane wsparcie z Budżetu Państwa w ramach środków określonych w Kontrakcie Programowym dla Województwa Lubelskiego.</w:t>
      </w:r>
    </w:p>
    <w:p w14:paraId="240F1F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F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F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1F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1F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F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1F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Pomoc publiczna – krajowa podstawa prawna</w:t>
      </w:r>
    </w:p>
    <w:p w14:paraId="240F1F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12 lipca 2023 r. w sprawie udzielania mikroprzedsiębiorcom, małym lub średnim przedsiębiorcom pomocy na usługi doradcze oraz na udział w targach w ramach regionalnych programów na lata 2021–2027 (Dz.U. 2023 poz. 1399), Rozporządzenie Ministra Funduszy i Polityki Regionalnej z dnia 17 kwietnia 2024 r. w sprawie udzielania pomocy de minimis w ramach regionalnych programów na lata 2021–2027 (Dz.U. 2024 poz. 598)</w:t>
      </w:r>
    </w:p>
    <w:p w14:paraId="240F1F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F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240F1F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F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F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F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1F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1F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objętej pomocą publiczną: zgodnie z programami pomocy publicznej; Projekty w części objętej pomocą de minimis: zgodnie z Regulaminem wyboru projektów, jednakże nie mniej niż 5%; Projekty w części nieobjętej pomocą publiczną: zgodnie z Regulaminem wyboru projektów, jednakże nie mniej niż 5%; Projekty współfinansowane z Budżetu Państwa - 1%</w:t>
      </w:r>
    </w:p>
    <w:p w14:paraId="240F1F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1F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1F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1F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1F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1F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w:t>
      </w:r>
    </w:p>
    <w:p w14:paraId="240F1F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1F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małe przedsiębiorstwa, mikroprzedsiębiorstwa, pracownicy, średnie przedsiębiorstwa</w:t>
      </w:r>
    </w:p>
    <w:p w14:paraId="240F1F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1F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handel_zagraniczny, targi, współpraca_miedzynarodowa, wystawca, wystawy</w:t>
      </w:r>
    </w:p>
    <w:p w14:paraId="240F1F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1F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Małe, Mikro, Średnie</w:t>
      </w:r>
    </w:p>
    <w:p w14:paraId="240F1F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1F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http://funduszeUE.lubelskie.pl</w:t>
      </w:r>
    </w:p>
    <w:p w14:paraId="240F1F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1F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WLWK-PLRO164 - Liczba imprez targowo-wystawienniczych, w których beneficjent brał udział jako wystawca</w:t>
      </w:r>
    </w:p>
    <w:p w14:paraId="240F1F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1F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WLWK-PLRO162 - Liczba przedsiębiorstw wspartych w zakresie internacjonalizacji działalności</w:t>
      </w:r>
    </w:p>
    <w:p w14:paraId="240F1F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1F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1F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1F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240F1F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WLWK-RCO004 - Przedsiębiorstwa otrzymujące wsparcie niefinansowe</w:t>
      </w:r>
    </w:p>
    <w:p w14:paraId="240F1F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1F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WLWK-PLRR080 - Liczba kontaktów biznesowych</w:t>
      </w:r>
    </w:p>
    <w:p w14:paraId="240F1F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WLWK-PLRR081 - Liczba kontraktów handlowych zagranicznych podpisanych przez przedsiębiorstwa wsparte w zakresie internacjonalizacji</w:t>
      </w:r>
    </w:p>
    <w:p w14:paraId="240F1F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40F1F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PROG-FELCR03 - Liczba przedsiębiorstw, które weszły na nowe zagraniczne rynki</w:t>
      </w:r>
    </w:p>
    <w:p w14:paraId="240F1F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1FE5"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7" w:name="_Toc241668181"/>
      <w:r>
        <w:rPr>
          <w:rFonts w:ascii="Calibri" w:hAnsi="Calibri" w:cs="Calibri"/>
          <w:sz w:val="32"/>
        </w:rPr>
        <w:t>Działanie FELU.02.08 Budowa i rozwój powiązań klastrowych</w:t>
      </w:r>
      <w:bookmarkEnd w:id="17"/>
    </w:p>
    <w:p w14:paraId="240F1F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1F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EFRR.CP1.III - Wzmacnianie trwałego wzrostu i konkurencyjności MŚP oraz tworzenie miejsc pracy w MŚP, w tym poprzez inwestycje produkcyjne</w:t>
      </w:r>
    </w:p>
    <w:p w14:paraId="240F1F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1F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1F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1F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5 731 579,00</w:t>
      </w:r>
    </w:p>
    <w:p w14:paraId="240F1F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1F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5 445 000,00</w:t>
      </w:r>
    </w:p>
    <w:p w14:paraId="240F1F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1F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024 - Zaawansowane usługi wsparcia dla MŚP i grup MŚP (w tym usługi w zakresie zarządzania, marketingu i projektowania), 026 - Wsparcie dla klastrów innowacyjnych, w tym między przedsiębiorstwami, organizacjami badawczymi i organami publicznymi oraz sieciami biznesowymi, z korzyścią głównie dla MŚP, 028 - Transfer technologii i współpraca między przedsiębiorstwami, organizacjami badawczymi i sektorem szkolnictwa wyższego, 029 - Procesy badawcze i innowacyjne, transfer technologii i współpraca między przedsiębiorstwami, organizacjami badawczymi i uczelniami wyższymi, koncentrujące się na gospodarce niskoemisyjnej, odporności i przystosowaniu się do zmian klimatu, 030 - Procesy badawcze i innowacyjne, transfer technologii i współpraca między przedsiębiorstwami koncentrujące się na gospodarce o obiegu zamkniętym</w:t>
      </w:r>
    </w:p>
    <w:p w14:paraId="240F1F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1F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Budowanie i wzmacnianie powiązań klastrowych.</w:t>
      </w:r>
      <w:r>
        <w:br/>
        <w:t>Wsparciem zostaną objęte działania zmierzające do budowania i wzmacniania powiązań klastrowych, w tym podnoszenie kwalifikacji koordynatorów oraz kadry biura klastra, wsparcie finansowe klastrów zalążkowych oraz wzrostowych regionalnych w związku z nową usługą.</w:t>
      </w:r>
      <w:r>
        <w:br/>
        <w:t>Wspierany będzie rozwój nowych usług w obszarach inteligentnych specjalizacji regionu, w tym w szczególności działań w zakresie cyfryzacji i transformacji cyfrowej, transformacji w kierunku przemysłu przyszłości (Przemysł 4.0), gospodarki obiegu zamkniętego (GOZ), gospodarki niskoemisyjnej.</w:t>
      </w:r>
      <w:r>
        <w:br/>
        <w:t>Kluczowe warunki realizacji projektów:</w:t>
      </w:r>
      <w:r>
        <w:br/>
        <w:t>1.</w:t>
      </w:r>
      <w:r>
        <w:tab/>
        <w:t>Szczegółowe zasady kwalifikowalności wydatków określone zostaną w Regulaminie wyboru projektów.</w:t>
      </w:r>
      <w:r>
        <w:br/>
        <w:t>2.</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3.</w:t>
      </w:r>
      <w:r>
        <w:tab/>
        <w:t>W przypadku klastrów zalążkowych udzielona pomoc nie może zostać przeznaczona na umiędzynarodowienie ani na potencjał infrastrukturalny.</w:t>
      </w:r>
      <w:r>
        <w:br/>
        <w:t>4.</w:t>
      </w:r>
      <w:r>
        <w:tab/>
        <w:t>Projekty muszą wpisywać się w obszary inteligentnych specjalizacji regionu określone w Regionalnej Strategii Innowacji Województwa Lubelskiego do 2030.</w:t>
      </w:r>
      <w:r>
        <w:br/>
        <w:t>5.</w:t>
      </w:r>
      <w:r>
        <w:tab/>
        <w:t>Dofinansowanie mogą otrzymać projekty polegające na rozszerzeniu oferty klastra o co najmniej jedną nową usługę przygotowaną w oparciu o analizę potrzeb członków klastra.</w:t>
      </w:r>
      <w:r>
        <w:br/>
        <w:t>6.</w:t>
      </w:r>
      <w:r>
        <w:tab/>
        <w:t>W ramach Działania zastosowane będą preferencje dla projektów zawierających elementy współpracy ponadregionalnej, transgranicznej lub ponadnarodowej.</w:t>
      </w:r>
      <w:r>
        <w:br/>
        <w:t>7.</w:t>
      </w:r>
      <w:r>
        <w:tab/>
        <w:t>Wsparcie w ramach Działania jest zgodne z Wytycznymi dotyczącymi realizacji zasad równościowych w ramach funduszy unijnych na lata 2021-2027.</w:t>
      </w:r>
    </w:p>
    <w:p w14:paraId="240F1F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1F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F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240F1F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1F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1F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1F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1F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 Rozporządzenie Ministra Funduszy i Polityki Regionalnej z dnia 20 października 2023 r. w sprawie udzielania pomocy dla klastrów innowacyjnych w ramach regionalnych programów na lata 2021–2027 (Dz.U. 2023 poz. 2321)</w:t>
      </w:r>
    </w:p>
    <w:p w14:paraId="240F1F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1F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240F1F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1F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1F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1F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0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0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objętej pomocą publiczną: zgodnie z programami pomocy publicznej; Projekty w części objętej pomocą de minimis: zgodnie z Regulaminem wyboru projektów, jednakże nie mniej niż 5%</w:t>
      </w:r>
    </w:p>
    <w:p w14:paraId="240F20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0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0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0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0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0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Partnerstwa</w:t>
      </w:r>
    </w:p>
    <w:p w14:paraId="240F20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0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członkowie klastra, klastry, małe przedsiębiorstwa, mikroprzedsiębiorstwa, pracownicy, średnie przedsiębiorstwa</w:t>
      </w:r>
    </w:p>
    <w:p w14:paraId="240F20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0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klastry, kompetencje</w:t>
      </w:r>
    </w:p>
    <w:p w14:paraId="240F20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0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0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0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0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WLWK-PLRO018 - Liczba wspartych klastrów</w:t>
      </w:r>
    </w:p>
    <w:p w14:paraId="240F20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0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WLWK-PLRR008 - Liczba przedsiębiorstw zaangażowanych we wsparte klastry</w:t>
      </w:r>
    </w:p>
    <w:p w14:paraId="240F20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2014"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18" w:name="_Toc241668182"/>
      <w:r>
        <w:rPr>
          <w:rFonts w:ascii="Calibri" w:hAnsi="Calibri" w:cs="Calibri"/>
          <w:i w:val="0"/>
          <w:sz w:val="32"/>
        </w:rPr>
        <w:t>Priorytet FELU.03 Ochrona zasobów środowiska i klimatu</w:t>
      </w:r>
      <w:bookmarkEnd w:id="18"/>
    </w:p>
    <w:p w14:paraId="240F20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20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20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20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20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20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CP2 -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240F20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20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20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20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229 230 391,00</w:t>
      </w:r>
    </w:p>
    <w:p w14:paraId="240F20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lastRenderedPageBreak/>
        <w:t>Wysokość alokacji UE (EUR)</w:t>
      </w:r>
    </w:p>
    <w:p w14:paraId="240F20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217 768 871,00</w:t>
      </w:r>
    </w:p>
    <w:p w14:paraId="240F20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20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0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024"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9" w:name="_Toc241668183"/>
      <w:r>
        <w:rPr>
          <w:rFonts w:ascii="Calibri" w:hAnsi="Calibri" w:cs="Calibri"/>
          <w:sz w:val="32"/>
        </w:rPr>
        <w:t>Działanie FELU.03.01 Bezpieczeństwo ekologiczne</w:t>
      </w:r>
      <w:bookmarkEnd w:id="19"/>
    </w:p>
    <w:p w14:paraId="240F20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0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EFRR/FS.CP2.IV - Wspieranie przystosowania się do zmian klimatu i zapobiegania ryzyku związanemu z klęskami żywiołowymi i katastrofami, a także odporności, z uwzględnieniem podejścia ekosystemowego</w:t>
      </w:r>
    </w:p>
    <w:p w14:paraId="240F20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0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33 625 886,00</w:t>
      </w:r>
    </w:p>
    <w:p w14:paraId="240F20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0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31 944 592,00</w:t>
      </w:r>
    </w:p>
    <w:p w14:paraId="240F20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0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058 - Działania w zakresie przystosowania się do zmian klimatu oraz zapobieganie ryzykom związanym z klimatem i zarządzanie nimi: powodzie i osunięcia ziemi (w tym zwiększanie świadomości, ochrona ludności i systemy zarządzania klęskami żywiołowymi i katastrofami, infrastruktura i podejście ekosystemowe), 059 - Działania w zakresie przystosowania się do zmian klimatu oraz zapobieganie ryzykom związanym z klimatem i zarządzanie nimi: pożary (w tym zwiększanie świadomości, ochrona ludności i systemy zarządzania klęskami żywiołowymi i katastrofami, infrastruktura i podejście ekosystemowe), 060 - Działania w zakresie przystosowania się do zmian klimatu oraz zapobieganie ryzykom związanym z klimatem i zarządzanie nimi: inne ryzyka, np. burze i susze (w tym zwiększanie świadomości, ochrona ludności i systemy zarządzania klęskami żywiołowymi i katastrofami, infrastruktura i podejście ekosystemowe)</w:t>
      </w:r>
    </w:p>
    <w:p w14:paraId="240F20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0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Rozwój potencjału służb publicznych poprzez wyposażenie w sprzęt i materiały do prowadzenia akcji ratowniczych i usuwania skutków zagrożeń naturalnych, w tym doposażenie magazynów przeciwpowodziowych.</w:t>
      </w:r>
      <w:r>
        <w:br/>
        <w:t>2.</w:t>
      </w:r>
      <w:r>
        <w:tab/>
        <w:t>Rozwijanie systemów prognozowania i ostrzegania środowiskowego.</w:t>
      </w:r>
      <w:r>
        <w:br/>
        <w:t>3.</w:t>
      </w:r>
      <w:r>
        <w:tab/>
        <w:t>Budowa, przebudowa, rozbudowa, remont budowli i urządzeń dla celów ochrony przed pożarami lasów.</w:t>
      </w:r>
      <w:r>
        <w:br/>
        <w:t>Ad. 1 i 2</w:t>
      </w:r>
      <w:r>
        <w:br/>
      </w:r>
      <w:r>
        <w:lastRenderedPageBreak/>
        <w:t>Na poziomie regionalnym możliwe jest dofinansowanie projektów Ochotniczej Straży Pożarnej włączonej do Krajowego Systemu Ratowniczo-Gaśniczego oraz projektu Państwowej Straży Pożarnej pn. „Dostosowanie Krajowego Systemu Ratowniczo-Gaśniczego na terenie województwa lubelskiego do zmian klimatycznych, zmian w środowisku naturalnym oraz zagrożeń cywilizacyjnych”, zapisanego w Kontrakcie Programowym dla Województwa Lubelskiego.</w:t>
      </w:r>
      <w:r>
        <w:br/>
        <w:t>Kluczowe warunki realizacji projektów:</w:t>
      </w:r>
      <w:r>
        <w:br/>
        <w:t>1.</w:t>
      </w:r>
      <w:r>
        <w:tab/>
        <w:t>Szczegółowe zasady kwalifikowalności wydatków określone zostaną w Regulaminie wyboru projektów.</w:t>
      </w:r>
      <w:r>
        <w:br/>
        <w:t>2.</w:t>
      </w:r>
      <w:r>
        <w:tab/>
        <w:t>Preferowane będą projekty wynikające ze strategii terytorialnych opracowanych przez partnerstwa JST w celu wdrażania Innego Instrumentu Terytorialnego (strategii rozwoju ponadlokalnego lub strategii IIT).</w:t>
      </w:r>
      <w:r>
        <w:br/>
        <w:t>3.</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0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0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0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0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0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0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0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0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240F20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0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0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0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0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240F20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0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0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0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0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0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0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0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0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Przedsiębiorstwa realizujące cele publiczne, Służby publiczne</w:t>
      </w:r>
    </w:p>
    <w:p w14:paraId="240F20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0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regionu korzystający z rezultatów projektu, mieszkańcy województwa</w:t>
      </w:r>
    </w:p>
    <w:p w14:paraId="240F20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0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 klęski_żywiołowe, klimat, powódź, pożary, środowisko, straż_pożarna, systemy_ostrzegania, zmiany_klimatu</w:t>
      </w:r>
    </w:p>
    <w:p w14:paraId="240F20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0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240F20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0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0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0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WLWK-RCO024 - Inwestycje w nowe lub zmodernizowane systemy monitorowania, gotowości, ostrzegania i reagowania w kontekście klęsk żywiołowych i katastrof w przypadku klęsk żywiołowych</w:t>
      </w:r>
    </w:p>
    <w:p w14:paraId="240F20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WLWK-PLRO041 - Liczba jednostek służb ratowniczych doposażonych w sprzęt do prowadzenia akcji ratowniczych i usuwania skutków katastrof</w:t>
      </w:r>
    </w:p>
    <w:p w14:paraId="240F20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WLWK-PLRO176 - Liczba nowych/zmodernizowanych stanowisk pomiarowych na potrzeby monitoringu stanu środowiska</w:t>
      </w:r>
    </w:p>
    <w:p w14:paraId="240F20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0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WLWK-PLRO042 - Liczba zakupionych wozów pożarniczych wyposażonych w sprzęt do prowadzenia akcji ratowniczych i usuwania skutków katastrof</w:t>
      </w:r>
    </w:p>
    <w:p w14:paraId="240F20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WLWK-RCO028 - Powierzchnia objęta środkami ochrony przed niekontrolowanymi pożarami</w:t>
      </w:r>
    </w:p>
    <w:p w14:paraId="240F20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0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WLWK-RCR035 - Ludność odnosząca korzyści ze środków ochrony przeciwpowodziowej</w:t>
      </w:r>
    </w:p>
    <w:p w14:paraId="240F20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WLWK-RCR037 - Ludność odnosząca korzyści ze środków ochrony przed klęskami żywiołowymi związanymi z klimatem (oprócz powodzi lub niekontrolowanych pożarów)</w:t>
      </w:r>
    </w:p>
    <w:p w14:paraId="240F20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WLWK-RCR036 - Ludność odnosząca korzyści ze środków ochrony przed niekontrolowanymi pożarami</w:t>
      </w:r>
    </w:p>
    <w:p w14:paraId="240F20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059"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0" w:name="_Toc241668184"/>
      <w:r>
        <w:rPr>
          <w:rFonts w:ascii="Calibri" w:hAnsi="Calibri" w:cs="Calibri"/>
          <w:sz w:val="32"/>
        </w:rPr>
        <w:t>Działanie FELU.03.02 Dostosowanie do zmian klimatu i zapobieganie powodziom i suszy</w:t>
      </w:r>
      <w:bookmarkEnd w:id="20"/>
    </w:p>
    <w:p w14:paraId="240F20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0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EFRR/FS.CP2.IV - Wspieranie przystosowania się do zmian klimatu i zapobiegania ryzyku związanemu z klęskami żywiołowymi i katastrofami, a także odporności, z uwzględnieniem podejścia ekosystemowego</w:t>
      </w:r>
    </w:p>
    <w:p w14:paraId="240F20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0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40 455 158,00</w:t>
      </w:r>
    </w:p>
    <w:p w14:paraId="240F20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0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38 432 400,00</w:t>
      </w:r>
    </w:p>
    <w:p w14:paraId="240F20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0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046 - Wsparcie dla podmiotów, które świadczą usługi wspierające gospodarkę niskoemisyjną i odporność na zmiany klimatu, w tym działania w zakresie zwiększania świadomości, 058 - Działania w zakresie przystosowania się do zmian klimatu oraz zapobieganie ryzykom związanym z klimatem i zarządzanie nimi: powodzie i osunięcia ziemi (w tym zwiększanie świadomości, ochrona ludności i systemy zarządzania klęskami żywiołowymi i katastrofami, infrastruktura i podejście ekosystemowe), 059 - Działania w zakresie przystosowania się do zmian klimatu oraz zapobieganie ryzykom związanym z klimatem i zarządzanie nimi: pożary (w tym zwiększanie świadomości, ochrona ludności i systemy zarządzania klęskami żywiołowymi i katastrofami, infrastruktura i podejście ekosystemowe), 060 - Działania w zakresie przystosowania się do zmian klimatu oraz zapobieganie ryzykom związanym z klimatem i zarządzanie nimi: inne ryzyka, np. burze i susze (w tym zwiększanie świadomości, ochrona ludności i systemy zarządzania klęskami żywiołowymi i katastrofami, infrastruktura i podejście ekosystemowe)</w:t>
      </w:r>
    </w:p>
    <w:p w14:paraId="240F20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0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 xml:space="preserve">Wspieranie inwestycji w zakresie małej retencji wodnej, w szczególności w ekosystemach oraz </w:t>
      </w:r>
      <w:r>
        <w:lastRenderedPageBreak/>
        <w:t>zlewniach elementarnych, w tym naturalnych ekosystemach na obszarach cennych przyrodniczo oraz ekosystemach przekształconych wykorzystywanych na potrzeby produkcji rolnej, w tym poprzez zabiegi agrotechniczne, dobór gatunków i zbiorowisk roślin.</w:t>
      </w:r>
      <w:r>
        <w:br/>
        <w:t>2.</w:t>
      </w:r>
      <w:r>
        <w:tab/>
        <w:t>Zrównoważone zagospodarowanie wód opadowych i roztopowych, w szczególności z wykorzystaniem zielonej i zielono-niebieskiej infrastruktury, zastosowanie wodoprzepuszczalnych nawierzchni oraz odszczelnianie nawierzchni nieprzepuszczalnych.</w:t>
      </w:r>
      <w:r>
        <w:br/>
        <w:t>3.</w:t>
      </w:r>
      <w:r>
        <w:tab/>
        <w:t>Opracowanie planów adaptacji do zmian klimatu miast, z wyłączeniem miast wspieranych w programie Fundusze Europejskie dla Polski Wschodniej oraz programie Fundusze Europejskie na Infrastrukturę, Klimat, Środowisko 2021-2027.</w:t>
      </w:r>
      <w:r>
        <w:br/>
        <w:t>4.</w:t>
      </w:r>
      <w:r>
        <w:tab/>
        <w:t>Projekty w zakresie adaptacji do zmian klimatu miast, w tym nieposiadających planów adaptacji do zmian klimatu, z wyłączeniem miast wspieranych w programie Fundusze Europejskie dla Polski Wschodniej oraz programie Fundusze Europejskie na Infrastrukturę, Klimat, Środowisko 2021-2027.</w:t>
      </w:r>
      <w:r>
        <w:br/>
        <w:t>5.</w:t>
      </w:r>
      <w:r>
        <w:tab/>
        <w:t>Wsparcie systemów doradztwa sprzyjających osiągnięciu neutralności klimatycznej.</w:t>
      </w:r>
      <w:r>
        <w:br/>
        <w:t>6.</w:t>
      </w:r>
      <w:r>
        <w:tab/>
        <w:t>Działania informacyjno-edukacyjne i edukacyjne w zakresie kwestii klimatycznych oraz ochrony zasobów wodnych - jako element szerszego projektu związanego z adaptacją do zmian klimatu.</w:t>
      </w:r>
      <w:r>
        <w:br/>
        <w:t xml:space="preserve">Ad.1 </w:t>
      </w:r>
      <w:r>
        <w:br/>
        <w:t>Projekty z zakresu małej retencji mogą być wspierane pod warunkiem zgodności z założeniami Dyrektywy2000/60/WE Parlamentu Europejskiego i Rady z dnia 23 października 2000 r. ustanawiającej ramy wspólnotowego działania w dziedzinie polityki wodnej, tzw. Ramowa Dyrektywa Wodna. Wspierane będą projekty, które nie mają negatywnego wpływu na stan lub potencjał jednolitych części wód, tj. inwestycje, nie mogą co do zasady powodować nieosiągnięcia dobrego stanu lub potencjału jednolitych części wód, nie mogą pogarszać stanu lub potencjału jednolitych części wód oraz nie mogą mieć znaczącego wpływu na cele ochrony obszarów objętych siecią Natura 2000, chyba że zachodzą przesłanki do odstępstw przewidzianych w Dyrektywie Siedliskowej. Projekty, które powodują zastosowanie art. 4 ust. 7 Ramowej Dyrektywy Wodnej, nie będą wspierane.</w:t>
      </w:r>
      <w:r>
        <w:br/>
        <w:t xml:space="preserve">Ad.2 </w:t>
      </w:r>
      <w:r>
        <w:br/>
        <w:t>-</w:t>
      </w:r>
      <w:r>
        <w:tab/>
        <w:t>Działania związane z budową i modernizacją konwencjonalnej infrastruktury zagospodarowywania wód opadowo-roztopowych będą przedmiotem finansowania pod warunkiem, że nie będą stanowiły głównego elementu projektu i będą ściśle powiązane z komponentami dotyczącymi zatrzymania i wykorzystania wód na miejscu, m.in. poprzez wdrożenie systemowych (kompleksowych) rozwiązań retencjonowania, infiltracji oraz wykorzystania wód opadowych na cele gospodarczo-bytowe (np. nawadnianie lub podlewanie terenów zielonych).</w:t>
      </w:r>
      <w:r>
        <w:br/>
        <w:t>-</w:t>
      </w:r>
      <w:r>
        <w:tab/>
        <w:t>Wsparcie infrastruktury służącej do zagospodarowywania wód opadowych i roztopowych dotyczyć będzie zrównoważonych systemów, tj. takich które: są potrzebne do przystosowania się do zmiany klimatu, w związku z czym są uwzględnione w planach przystosowania się do zmiany klimatu; wykorzystują zieloną i zielono-niebieską infrastrukturę do zatrzymywania wody w miejscu opadu i mikroretencyjne rozwiązania oparte na przyrodzie; które nie są związane z gospodarowaniem ściekami komunalnymi.</w:t>
      </w:r>
      <w:r>
        <w:br/>
        <w:t>Ad.4</w:t>
      </w:r>
      <w:r>
        <w:br/>
        <w:t xml:space="preserve">Projekty w zakresie adaptacji do zmian klimatu w miastach pow. 20 tys. mieszkańców muszą wynikać z planów adaptacji do zmian klimatu tam, gdzie istnieje lub będzie istniał wymóg prawny, zaś pozostałe miasta nieposiadające planu adaptacji do zmian klimatu muszą zapewnić szeroką partycypację społeczną </w:t>
      </w:r>
      <w:r>
        <w:lastRenderedPageBreak/>
        <w:t>w wyłonieniu projektów. W przypadku, gdy miasto poniżej 20 tys. mieszkańców posiada plan adaptacji do zmian klimatu i projekt przedłożony do wsparcia wynika z niniejszego planu, wymóg przeprowadzenia szerokiej partycypacji społecznej uważa się za spełniony.</w:t>
      </w:r>
      <w:r>
        <w:br/>
        <w:t xml:space="preserve">Ad.5 </w:t>
      </w:r>
      <w:r>
        <w:br/>
        <w:t>W ramach niniejszego typu projektu, obok działań związanych z szeroko rozumianym doradztwem dot. neutralności klimatycznej, w tym racjonalnego korzystania z zasobów środowiskowych, ochrony i przeciwdziałania skutkom występujących zmian klimatycznych, GOZ, efektywności energetycznej i wykorzystania energii z odnawialnych źródeł, przewiduje się także możliwość wsparcia zadań polegających na przygotowaniu dokumentów planistycznych dot. GOZ, takich jak mapy drogowe, strategie GOZ/Zero Waste.</w:t>
      </w:r>
      <w:r>
        <w:br/>
        <w:t>Ad. 1,2,4</w:t>
      </w:r>
      <w:r>
        <w:br/>
        <w:t>Projekty infrastrukturalne w zakresie dostosowania do zmiany klimatu, zapobiegania ryzyku i odporności na klęski żywiołowe powinny uwzględniać naturalne warunki siedliskowe w obszarze inwestycji, a w przypadku lokalizacji na obszarach objętych formami ochrony przyrody, uwzględniać również zasady ich ochrony zawarte w odrębnych dokumentach planistycznych.</w:t>
      </w:r>
      <w:r>
        <w:br/>
        <w:t>Kluczowe warunki realizacji projektów:</w:t>
      </w:r>
      <w:r>
        <w:br/>
        <w:t>1.</w:t>
      </w:r>
      <w:r>
        <w:tab/>
        <w:t>Szczegółowe zasady kwalifikowalności wydatków określone zostaną w Regulaminie wyboru projektów.</w:t>
      </w:r>
      <w:r>
        <w:br/>
        <w:t>2.</w:t>
      </w:r>
      <w:r>
        <w:tab/>
        <w:t>Preferowane będą projekty wynikające ze strategii terytorialnych opracowanych przez partnerstwa JST w celu wdrażania Innego Instrumentu Terytorialnego (strategii rozwoju ponadlokalnego lub strategii IIT).</w:t>
      </w:r>
      <w:r>
        <w:br/>
        <w:t>3.</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0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0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0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0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0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0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0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0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Ministra Funduszy i Polityki Regionalnej z dnia 17 kwietnia 2024 r. w sprawie udzielania pomocy de minimis w ramach regionalnych programów na lata 2021–2027 (Dz.U. 2024 poz. 598), Rozporządzenie Ministra Funduszy i Polityki Regionalnej z dnia 7 listopada 2023 r. w sprawie udzielania pomocy inwestycyjnej na remediację szkód wyrządzonych środowisku, rekultywację zdegradowanych siedlisk przyrodniczych i ekosystemów, ochronę lub odbudowę bioróżnorodności lub ekosystemów oraz wdrażanie rozwiązań opartych na zasobach przyrody w celu łagodzenia zmiany klimatu i przystosowywania się do niej w ramach regionalnych programów na lata 2021–2027 (Dz.U. 2023 poz. 2451)</w:t>
      </w:r>
    </w:p>
    <w:p w14:paraId="240F20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0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0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0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0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0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0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0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0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0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0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0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0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0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 Przedsiębiorstwa realizujące cele publiczne, Służby publiczne</w:t>
      </w:r>
    </w:p>
    <w:p w14:paraId="240F20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0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regionu korzystający z rezultatów projektu, mieszkańcy województwa</w:t>
      </w:r>
    </w:p>
    <w:p w14:paraId="240F20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0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adaptacja_do_zmian_klimatu, klęski_żywiołowe, mała_retencja, miejski_plan_adaptacji, niebieska_infrastruktura, powódź, pożary, susza, wody_opadowe, zielona_infrastruktura</w:t>
      </w:r>
    </w:p>
    <w:p w14:paraId="240F20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0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0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Kryteria wyboru projektów</w:t>
      </w:r>
    </w:p>
    <w:p w14:paraId="240F20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0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0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WLWK-RCO027 - Krajowe oraz regionalne i lokalne strategie na rzecz przystosowania się do zmian klimatu</w:t>
      </w:r>
    </w:p>
    <w:p w14:paraId="240F20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WLWK-PLRO178 - Liczba miast wspartych w zakresie adaptacji do zmian klimatu</w:t>
      </w:r>
    </w:p>
    <w:p w14:paraId="240F20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0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WLWK-PLRO227 - Liczba przeszkolonych doradców klimatycznych przygotowanych do prowadzenia usług doradczych</w:t>
      </w:r>
    </w:p>
    <w:p w14:paraId="240F20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WLWK-PLRO226 - Liczba punktów doradztwa klimatycznego </w:t>
      </w:r>
    </w:p>
    <w:p w14:paraId="240F20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WLWK-PLRO044 - Pojemność obiektów małej retencji</w:t>
      </w:r>
    </w:p>
    <w:p w14:paraId="240F20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WLWK-RCO026 - Zielona infrastruktura wybudowana lub zmodernizowana w celu przystosowania się do zmian klimatu</w:t>
      </w:r>
    </w:p>
    <w:p w14:paraId="240F20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PROG-FELCO08 - Powierzchnia gruntu odszczelniona lub zagospodarowana materiałami wodoprzepuszczalnymi</w:t>
      </w:r>
    </w:p>
    <w:p w14:paraId="240F20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PROG-FELCO07 - Powierzchnia obszarów objętych nietechnicznymi działaniami powodującymi zmniejszenie odpływu wody ze zlewni</w:t>
      </w:r>
    </w:p>
    <w:p w14:paraId="240F20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0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WLWK-PLRR065 - Liczba udzielonych konsultacji w zakresie działań sprzyjających neutralności klimatycznej  </w:t>
      </w:r>
    </w:p>
    <w:p w14:paraId="240F20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WLWK-RCR035 - Ludność odnosząca korzyści ze środków ochrony przeciwpowodziowej</w:t>
      </w:r>
    </w:p>
    <w:p w14:paraId="240F20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WLWK-RCR037 - Ludność odnosząca korzyści ze środków ochrony przed klęskami żywiołowymi związanymi z klimatem (oprócz powodzi lub niekontrolowanych pożarów)</w:t>
      </w:r>
    </w:p>
    <w:p w14:paraId="240F20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091"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1" w:name="_Toc241668185"/>
      <w:r>
        <w:rPr>
          <w:rFonts w:ascii="Calibri" w:hAnsi="Calibri" w:cs="Calibri"/>
          <w:sz w:val="32"/>
        </w:rPr>
        <w:t>Działanie FELU.03.03 Bezpieczeństwo ekologiczne oraz dostosowanie do zmian klimatu i zapobieganie powodziom i suszy w ramach Zintegrowanych Inwestycji Terytorialnych Miejskich Obszarów Funkcjonalnych</w:t>
      </w:r>
      <w:bookmarkEnd w:id="21"/>
    </w:p>
    <w:p w14:paraId="240F20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0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EFRR/FS.CP2.IV - Wspieranie przystosowania się do zmian klimatu i zapobiegania ryzyku związanemu z klęskami żywiołowymi i katastrofami, a także odporności, z uwzględnieniem podejścia ekosystemowego</w:t>
      </w:r>
    </w:p>
    <w:p w14:paraId="240F20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Wysokość alokacji ogółem (EUR)</w:t>
      </w:r>
    </w:p>
    <w:p w14:paraId="240F20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13 684 212,00</w:t>
      </w:r>
    </w:p>
    <w:p w14:paraId="240F20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0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13 000 000,00</w:t>
      </w:r>
    </w:p>
    <w:p w14:paraId="240F20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0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046 - Wsparcie dla podmiotów, które świadczą usługi wspierające gospodarkę niskoemisyjną i odporność na zmiany klimatu, w tym działania w zakresie zwiększania świadomości, 058 - Działania w zakresie przystosowania się do zmian klimatu oraz zapobieganie ryzykom związanym z klimatem i zarządzanie nimi: powodzie i osunięcia ziemi (w tym zwiększanie świadomości, ochrona ludności i systemy zarządzania klęskami żywiołowymi i katastrofami, infrastruktura i podejście ekosystemowe), 059 - Działania w zakresie przystosowania się do zmian klimatu oraz zapobieganie ryzykom związanym z klimatem i zarządzanie nimi: pożary (w tym zwiększanie świadomości, ochrona ludności i systemy zarządzania klęskami żywiołowymi i katastrofami, infrastruktura i podejście ekosystemowe), 060 - Działania w zakresie przystosowania się do zmian klimatu oraz zapobieganie ryzykom związanym z klimatem i zarządzanie nimi: inne ryzyka, np. burze i susze (w tym zwiększanie świadomości, ochrona ludności i systemy zarządzania klęskami żywiołowymi i katastrofami, infrastruktura i podejście ekosystemowe)</w:t>
      </w:r>
    </w:p>
    <w:p w14:paraId="240F20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0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Rozwijanie systemów prognozowania i ostrzegania środowiskowego.</w:t>
      </w:r>
      <w:r>
        <w:br/>
        <w:t>2.</w:t>
      </w:r>
      <w:r>
        <w:tab/>
        <w:t>Wspieranie inwestycji w zakresie małej retencji wodnej, w szczególności w naturalnych ekosystemach oraz zlewniach elementarnych, w tym naturalnych ekosystemach na obszarach cennych przyrodniczo oraz ekosystemach przekształconych wykorzystywanych na potrzeby produkcji rolnej, w tym poprzez zabiegi agrotechniczne, dobór gatunków i zbiorowisk roślin.</w:t>
      </w:r>
      <w:r>
        <w:br/>
        <w:t>3.</w:t>
      </w:r>
      <w:r>
        <w:tab/>
        <w:t>Zrównoważone zagospodarowanie wód opadowych i roztopowych, w szczególności z wykorzystaniem zielonej i zielono-niebieskiej infrastruktury, zastosowanie wodoprzepuszczalnych nawierzchni oraz odszczelnianie nawierzchni nieprzepuszczalnych.</w:t>
      </w:r>
      <w:r>
        <w:br/>
        <w:t>4.</w:t>
      </w:r>
      <w:r>
        <w:tab/>
        <w:t>Opracowanie planów adaptacji do zmian klimatu miast, z wyłączeniem miast wspieranych w programie Fundusze Europejskie dla Polski Wschodniej oraz programie Fundusze Europejskie na Infrastrukturę, Klimat, Środowisko 2021-2027.</w:t>
      </w:r>
      <w:r>
        <w:br/>
        <w:t>5.</w:t>
      </w:r>
      <w:r>
        <w:tab/>
        <w:t>Projekty w zakresie adaptacji do zmian klimatu miast, w tym nieposiadających planów adaptacji do zmian klimatu, z wyłączeniem miast wspieranych w programie Fundusze Europejskie dla Polski Wschodniej oraz programie Fundusze Europejskie na Infrastrukturę, Klimat, Środowisko 2021-2027.</w:t>
      </w:r>
      <w:r>
        <w:br/>
        <w:t>6.</w:t>
      </w:r>
      <w:r>
        <w:tab/>
        <w:t>Działania informacyjno-edukacyjne i edukacyjne w zakresie kwestii klimatycznych oraz ochrony zasobów wodnych - jako element szerszego projektu związanego z adaptacją do zmian klimatu.</w:t>
      </w:r>
      <w:r>
        <w:br/>
        <w:t>Ad.2</w:t>
      </w:r>
      <w:r>
        <w:br/>
        <w:t xml:space="preserve">Projekty z zakresu małej retencji mogą być wspierane pod warunkiem zgodności z założeniami </w:t>
      </w:r>
      <w:r>
        <w:lastRenderedPageBreak/>
        <w:t>Dyrektywy2000/60/WE Parlamentu Europejskiego i Rady z dnia 23 października 2000 r. ustanawiająca ramy wspólnotowego działania w dziedzinie polityki wodnej, tzw. Ramowa Dyrektywa Wodna. Wspierane będą projekty, które nie mają negatywnego wpływu na stan lub potencjał jednolitych części wód, tj. inwestycje, nie mogą co do zasady powodować nieosiągnięcia dobrego stanu lub potencjału jednolitych części wód, nie mogą pogarszać stanu lub potencjału jednolitych części wód oraz nie mogą mieć znaczącego wpływu na cele ochrony obszarów objętych siecią Natura 2000, chyba że zachodzą przesłanki do odstępstw przewidzianych w Dyrektywie Siedliskowej. Projekty, które powodują zastosowanie art. 4 ust. 7 Ramowej Dyrektywy Wodnej, nie będą wspierane.</w:t>
      </w:r>
      <w:r>
        <w:br/>
        <w:t>Ad.3</w:t>
      </w:r>
      <w:r>
        <w:br/>
        <w:t>-</w:t>
      </w:r>
      <w:r>
        <w:tab/>
        <w:t>Działania związane z budową i modernizacją konwencjonalnej infrastruktury zagospodarowywania wód opadowo-roztopowych będą przedmiotem finansowania pod warunkiem, że nie będą stanowiły głównego elementu projektu i będą ściśle powiązane z komponentami dotyczącymi zatrzymania i wykorzystania wód na miejscu, m.in. poprzez wdrożenie systemowych (kompleksowych) rozwiązań retencjonowania, infiltracji oraz wykorzystania wód opadowych na cele gospodarczo-bytowe (np. nawadnianie lub podlewanie terenów zielonych).</w:t>
      </w:r>
      <w:r>
        <w:br/>
        <w:t>-</w:t>
      </w:r>
      <w:r>
        <w:tab/>
        <w:t>Wsparcie infrastruktury służącej do zagospodarowywania wód opadowych i roztopowych dotyczyć będzie zrównoważonych systemów, tj. takich które: są potrzebne do przystosowania się do zmiany klimatu, w związku z czym są uwzględnione w planach przystosowania się do zmiany klimatu; wykorzystują zieloną i zielono-niebieską infrastrukturę do zatrzymywania wody w miejscu opadu i mikroretencyjne rozwiązania oparte na przyrodzie; które nie są związane z gospodarowaniem ściekami komunalnymi.</w:t>
      </w:r>
      <w:r>
        <w:br/>
        <w:t>Ad.5</w:t>
      </w:r>
      <w:r>
        <w:br/>
        <w:t>Projekty w zakresie adaptacji do zmian klimatu w miastach pow. 20 tys. mieszkańców muszą wynikać z planów adaptacji do zmian klimatu tam, gdzie istnieje lub będzie istniał wymóg prawny, zaś pozostałe miasta nieposiadające planu adaptacji do zmian klimatu muszą zapewnić szeroką partycypację społeczną w wyłonieniu projektów. W przypadku, gdy miasto poniżej 20 tys. mieszkańców posiada plan adaptacji do zmian klimatu i projekt przedłożony do wsparcia wynika z niniejszego planu, wymóg przeprowadzenia szerokiej partycypacji społecznej uważa się za spełniony.</w:t>
      </w:r>
      <w:r>
        <w:br/>
        <w:t>Ad. 2,3,5</w:t>
      </w:r>
      <w:r>
        <w:br/>
        <w:t>Projekty infrastrukturalne w zakresie dostosowania do zmiany klimatu, zapobiegania ryzyku i odporności na klęski żywiołowe powinny uwzględniać naturalne warunki siedliskowe w obszarze inwestycji, a w przypadku lokalizacji na obszarach objętych formami ochrony przyrody, uwzględniać również zasady ich ochrony zawarte w odrębnych dokumentach planistycznych.</w:t>
      </w:r>
      <w:r>
        <w:br/>
        <w:t>Kluczowe warunki realizacji projektów:</w:t>
      </w:r>
      <w:r>
        <w:br/>
        <w:t>1.</w:t>
      </w:r>
      <w:r>
        <w:tab/>
        <w:t>Szczegółowe zasady kwalifikowalności wydatków określone zostaną w Regulaminie wyboru projektów.</w:t>
      </w:r>
      <w:r>
        <w:br/>
        <w:t>2.</w:t>
      </w:r>
      <w:r>
        <w:tab/>
        <w:t>Realizowane przedsięwzięcia muszą zostać zidentyfikowane w strategii terytorialnej będącej podstawą realizacji Zintegrowanych Inwestycji Terytorialnych, pozytywnie zaopiniowanej pod kątem możliwości jej finansowania w ramach Programu, przez IZ.</w:t>
      </w:r>
      <w:r>
        <w:br/>
        <w:t>3.</w:t>
      </w:r>
      <w:r>
        <w:tab/>
        <w:t xml:space="preserve">Realizowane inwestycje muszą mieć charakter zintegrowany, tj. muszą wpisywać się w cele rozwoju obszaru funkcjonalnego objętego instrumentem i być ukierunkowane na rozwiązywanie wspólnych problemów rozwojowych – oznacza to, że projekt taki musi mieć wpływ na więcej niż 1 gminę </w:t>
      </w:r>
      <w:r>
        <w:lastRenderedPageBreak/>
        <w:t>w MOF oraz jego realizacja musi być uzasadniona zarówno w części diagnostycznej, jak i w części kierunkowej strategii. Inwestycje te muszą spełniać jeden z następujących warunków: muszą być projektem partnerskim w rozumieniu art. 39 ustawy wdrożeniowej lub deklarowany powinien być wspólny efekt, rezultat lub produkt końcowy projektu, tj. wspólne wykorzystanie stworzonej w jego ramach infrastruktury.</w:t>
      </w:r>
      <w:r>
        <w:br/>
        <w:t>4.</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0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0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0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0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0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0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0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0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 Rozporządzenie Ministra Funduszy i Polityki Regionalnej z dnia 7 listopada 2023 r. w sprawie udzielania pomocy inwestycyjnej na remediację szkód wyrządzonych środowisku, rekultywację zdegradowanych siedlisk przyrodniczych i ekosystemów, ochronę lub odbudowę bioróżnorodności lub ekosystemów oraz wdrażanie rozwiązań opartych na zasobach przyrody w celu łagodzenia zmiany klimatu i przystosowywania się do niej w ramach regionalnych programów na lata 2021–2027 (Dz.U. 2023 poz. 2451)</w:t>
      </w:r>
    </w:p>
    <w:p w14:paraId="240F20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0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0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0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0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0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0</w:t>
      </w:r>
    </w:p>
    <w:p w14:paraId="240F20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0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0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0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0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0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0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0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 Przedsiębiorstwa realizujące cele publiczne, Służby publiczne, Zintegrowane Inwestycje Terytorialne (ZIT)</w:t>
      </w:r>
    </w:p>
    <w:p w14:paraId="240F20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0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20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0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adaptacja_do_zmian_klimatu, klęski_żywiołowe, mała_retencja, miejski_plan_adaptacji, niebieska_infrastruktura, powódź, pożary, susza, zielona_infrastruktura, Zintegrowane_Inwestycje_Terytorialne</w:t>
      </w:r>
    </w:p>
    <w:p w14:paraId="240F20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0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0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0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0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0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WLWK-RCO024 - Inwestycje w nowe lub zmodernizowane systemy monitorowania, gotowości, ostrzegania i reagowania w kontekście klęsk żywiołowych i katastrof w przypadku klęsk żywiołowych</w:t>
      </w:r>
    </w:p>
    <w:p w14:paraId="240F20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WLWK-RCO027 - Krajowe oraz regionalne i lokalne strategie na rzecz przystosowania się do zmian klimatu</w:t>
      </w:r>
    </w:p>
    <w:p w14:paraId="240F20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WLWK-PLRO178 - Liczba miast wspartych w zakresie adaptacji do zmian klimatu</w:t>
      </w:r>
    </w:p>
    <w:p w14:paraId="240F20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WLWK-PLRO176 - Liczba nowych/zmodernizowanych stanowisk pomiarowych na potrzeby monitoringu stanu środowiska</w:t>
      </w:r>
    </w:p>
    <w:p w14:paraId="240F20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0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0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WLWK-PLRO044 - Pojemność obiektów małej retencji</w:t>
      </w:r>
    </w:p>
    <w:p w14:paraId="240F20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0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WLWK-RCO026 - Zielona infrastruktura wybudowana lub zmodernizowana w celu przystosowania się do zmian klimatu</w:t>
      </w:r>
    </w:p>
    <w:p w14:paraId="240F20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PROG-FELCO08 - Powierzchnia gruntu odszczelniona lub zagospodarowana materiałami wodoprzepuszczalnymi</w:t>
      </w:r>
    </w:p>
    <w:p w14:paraId="240F20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PROG-FELCO07 - Powierzchnia obszarów objętych nietechnicznymi działaniami powodującymi zmniejszenie odpływu wody ze zlewni</w:t>
      </w:r>
    </w:p>
    <w:p w14:paraId="240F20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0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WLWK-RCR035 - Ludność odnosząca korzyści ze środków ochrony przeciwpowodziowej</w:t>
      </w:r>
    </w:p>
    <w:p w14:paraId="240F20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WLWK-RCR037 - Ludność odnosząca korzyści ze środków ochrony przed klęskami żywiołowymi związanymi z klimatem (oprócz powodzi lub niekontrolowanych pożarów)</w:t>
      </w:r>
    </w:p>
    <w:p w14:paraId="240F20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WLWK-RCR036 - Ludność odnosząca korzyści ze środków ochrony przed niekontrolowanymi pożarami</w:t>
      </w:r>
    </w:p>
    <w:p w14:paraId="240F20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0CB"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2" w:name="_Toc241668186"/>
      <w:r>
        <w:rPr>
          <w:rFonts w:ascii="Calibri" w:hAnsi="Calibri" w:cs="Calibri"/>
          <w:sz w:val="32"/>
        </w:rPr>
        <w:t>Działanie FELU.03.04 Zrównoważona gospodarka wodno-ściekowa</w:t>
      </w:r>
      <w:bookmarkEnd w:id="22"/>
    </w:p>
    <w:p w14:paraId="240F20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0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 - Wspieranie bezpiecznego dostępu do wody, zrównoważonej gospodarki wodnej obejmującej zintegrowane zarządzanie wodą, a także odporności wodnej</w:t>
      </w:r>
    </w:p>
    <w:p w14:paraId="240F20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0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48 133 020,00</w:t>
      </w:r>
    </w:p>
    <w:p w14:paraId="240F20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0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45 726 368,00</w:t>
      </w:r>
    </w:p>
    <w:p w14:paraId="240F20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0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060 - Działania w zakresie przystosowania się do zmian klimatu oraz zapobieganie ryzykom związanym z klimatem i zarządzanie nimi: inne ryzyka, np. burze i susze (w tym zwiększanie świadomości, ochrona ludności i systemy zarządzania klęskami żywiołowymi i katastrofami, infrastruktura i podejście ekosystemowe), 062 - Dostarczanie wody do spożycia przez ludzi (infrastruktura do celów ujęcia, uzdatniania, magazynowania i dystrybucji, działania na rzecz efektywności, zaopatrzenie w wodę do spożycia), 063 - Dostarczanie wody do spożycia przez ludzi (infrastruktura do celów ujęcia, uzdatniania, magazynowania i dystrybucji, działania na rzecz efektywności, zaopatrzenie w wodę do spożycia) zgodne z kryteriami efektywności, 064 - Gospodarka wodna i ochrona zasobów wodnych (w tym gospodarowanie wodami w dorzeczu, konkretne działania w zakresie przystosowania się do zmian </w:t>
      </w:r>
      <w:r>
        <w:lastRenderedPageBreak/>
        <w:t>klimatu, ponowne użycie, ograniczanie wycieków), 065 - Odprowadzanie i oczyszczanie ścieków, 066 - Odprowadzanie i oczyszczanie ścieków zgodne z kryteriami efektywności energetycznej</w:t>
      </w:r>
    </w:p>
    <w:p w14:paraId="240F20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0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Projekty z zakresu gospodarki ściekowej w aglomeracjach od co najmniej 2 tys. do poniżej 15 tys. RLM ujętych w KPOŚK, które nie spełniają wymogów Dyrektywy Rady z dnia 21 maja 1991 r. dotyczącej oczyszczania ścieków komunalnych.</w:t>
      </w:r>
      <w:r>
        <w:br/>
        <w:t>2.</w:t>
      </w:r>
      <w:r>
        <w:tab/>
        <w:t>Projekty z zakresu budowy infrastruktury do ujmowania, uzdatniania i dystrybucji wody, realizowane w ograniczonym zakresie jako element kompleksowych projektów regulujących gospodarkę ściekową (w ramach KPOŚK) lub jako samodzielne projekty na obszarach, dla których zapewniony jest odpowiedni sposób zagospodarowania ścieków zgodny z Dyrektywą Rady z dnia 21 maja 1991 r., dotyczącą oczyszczania ścieków komunalnych.</w:t>
      </w:r>
      <w:r>
        <w:br/>
        <w:t>3.</w:t>
      </w:r>
      <w:r>
        <w:tab/>
        <w:t>Projekty z zakresu modernizacji, naprawy infrastruktury do ujmowania, uzdatniania i dystrybucji wody, ograniczające straty w dostawach wody do spożycia, zmniejszające ryzyko wystąpienia awarii oraz zwiększające efektywność wykorzystania wody w gminach o liczbie ludności nie większej niż 15 tys. mieszkańców.</w:t>
      </w:r>
      <w:r>
        <w:br/>
        <w:t>Ad. 1,2</w:t>
      </w:r>
      <w:r>
        <w:br/>
        <w:t>1.</w:t>
      </w:r>
      <w:r>
        <w:tab/>
        <w:t>Dokumentem stanowiącym podstawę do wyboru projektów w zakresie odprowadzania i oczyszczania ścieków będzie KPOŚK zawierający listę potrzeb inwestycyjnych w poszczególnych aglomeracjach.</w:t>
      </w:r>
      <w:r>
        <w:br/>
        <w:t>2.</w:t>
      </w:r>
      <w:r>
        <w:tab/>
        <w:t>Dofinansowanie do projektów z zakresu gospodarki wodno-ściekowej, realizowanych na terenie aglomeracji ujętych w KPOŚK, będzie możliwe jedynie w przypadku posiadania obowiązującej uchwały w sprawie wyznaczenia aglomeracji na przedmiotowym obszarze.</w:t>
      </w:r>
      <w:r>
        <w:br/>
        <w:t>3.</w:t>
      </w:r>
      <w:r>
        <w:tab/>
        <w:t>Wsparcie będą mogły uzyskać wyłącznie aglomeracje, które nie spełniają wymogów dyrektywy Rady z dnia 21 maja 1991 r. dotyczącej oczyszczania ścieków komunalnych.</w:t>
      </w:r>
      <w:r>
        <w:br/>
        <w:t>Ad. 2,3</w:t>
      </w:r>
      <w:r>
        <w:br/>
        <w:t>1.</w:t>
      </w:r>
      <w:r>
        <w:tab/>
        <w:t>Preferowane będą projekty dotyczące infrastruktury do ujmowania, uzdatniania i dystrybucji wody, które znajdują się w wykazie „Programu Inwestycyjnego w zakresie poprawy jakości i ograniczania strat wody przeznaczonej do spożycia przez ludzi”. https://www.gov.pl/attachment/caf66919-d661-4492-b238-d8af4994bb24</w:t>
      </w:r>
      <w:r>
        <w:br/>
        <w:t>Ad. 1</w:t>
      </w:r>
      <w:r>
        <w:br/>
        <w:t>1.</w:t>
      </w:r>
      <w:r>
        <w:tab/>
        <w:t>Projekty będą realizowane w ramach dwóch priorytetów, w kolejności: priorytet 1- aglomeracje w przedziale od co najmniej 10 tys. do poniżej 15 tys. RLM, priorytet 2 - aglomeracje z przedziału od co najmniej 2 tyś. do poniżej 10 tyś. RLM, pod warunkiem, że potrzeby priorytetu 1 zostaną zaspokojone.</w:t>
      </w:r>
      <w:r>
        <w:br/>
        <w:t>2.</w:t>
      </w:r>
      <w:r>
        <w:tab/>
        <w:t xml:space="preserve">Dofinansowanie projektów dotyczących budowy przydomowych oczyszczalni ścieków w ramach zintegrowanej gospodarki ściekowej w aglomeracji będzie możliwe pod warunkiem zapewnienia ekonomicznie uzasadnionych i trwałych finansowo rozwiązań. Zgodnie z art. 3 ust. 1 Dyrektywy 91/271/EWG Państwa Członkowskie zapewniają, aby wszystkie aglomeracje wyposażone były w system zbierania ścieków komunalnych. W przypadku gdy ustanowienie systemu zbierania nie jest uzasadnione, jako że nie przyniosłoby korzyści dla środowiska lub powodowałoby nadmierne koszty, należy </w:t>
      </w:r>
      <w:r>
        <w:lastRenderedPageBreak/>
        <w:t>zastosować pojedyncze systemy lub inne właściwe systemy zapewniające ten sam poziom ochrony środowiska.</w:t>
      </w:r>
      <w:r>
        <w:br/>
        <w:t>3.</w:t>
      </w:r>
      <w:r>
        <w:tab/>
        <w:t>Wsparcie przydomowych oczyszczalni ścieków możliwe jest wyłącznie w przypadku zapewnienia regularnego monitoringu, kontroli i utrzymania tych instalacji, odpowiedniego postepowania z osadami ściekowymi oraz zapewnienia trwałości tych instalacji.</w:t>
      </w:r>
      <w:r>
        <w:br/>
        <w:t>Ad. 2</w:t>
      </w:r>
      <w:r>
        <w:br/>
        <w:t>1.</w:t>
      </w:r>
      <w:r>
        <w:tab/>
        <w:t>Realizacja projektów związanych ze wsparciem systemów zaopatrzenia w wodę polegających na ich budowie będzie dopuszczalna w ograniczonym zakresie jako uzupełniający element projektów dotyczących gospodarki ściekowej (limit na poziomie projektu: 25% kosztów projektu) lub jako samodzielne projekty, gdy na danym terenie zapewniony jest sposób zagospodarowania ścieków zgodny z Dyrektywą Rady z dnia 21 maja 1991 r. dotyczącą oczyszczania ścieków komunalnych (bądź taka zgodność zostanie uzyskana w wyniku zakończenia realizowanych już projektów).</w:t>
      </w:r>
      <w:r>
        <w:br/>
        <w:t>2.</w:t>
      </w:r>
      <w:r>
        <w:tab/>
        <w:t>Możliwość dofinansowania realizacji samodzielnych projektów w zakresie budowy infrastruktury niezbędnej do ujęcia, uzdatniania, magazynowania i dystrybucji wody do spożycia dotyczy wyłącznie gmin o liczbie ludności poniżej 15 tysięcy mieszkańców.</w:t>
      </w:r>
      <w:r>
        <w:br/>
        <w:t>Kluczowe warunki realizacji projektów:</w:t>
      </w:r>
      <w:r>
        <w:br/>
        <w:t>1.</w:t>
      </w:r>
      <w:r>
        <w:tab/>
        <w:t>Szczegółowe zasady kwalifikowalności wydatków określone zostaną w Regulaminie wyboru projektów.</w:t>
      </w:r>
      <w:r>
        <w:br/>
        <w:t>2.</w:t>
      </w:r>
      <w:r>
        <w:tab/>
        <w:t>Preferowane będą projekty wynikające ze strategii terytorialnych opracowanych przez partnerstwa JST w celu wdrażania Innego Instrumentu Terytorialnego (strategii rozwoju ponadlokalnego lub strategii IIT).</w:t>
      </w:r>
      <w:r>
        <w:br/>
        <w:t>3.</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4.</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p>
    <w:p w14:paraId="240F20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0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0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0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0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0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minimis (Dz. Urz. UE L z </w:t>
      </w:r>
      <w:r>
        <w:lastRenderedPageBreak/>
        <w:t>15.12.2023), Rozporządzenie Komisji (UE) nr 651/2014 z dnia 17 czerwca 2014 r. uznające niektóre rodzaje pomocy za zgodne z rynkiem wewnętrznym w zastosowaniu art. 107 i 108 Traktatu (Dz. Urz. UE L 187 z 26.06.2014, str. 1, z późn. zm.)</w:t>
      </w:r>
    </w:p>
    <w:p w14:paraId="240F20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0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240F20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0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0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0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0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0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0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0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0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0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0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0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0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0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Partnerstwa, Przedsiębiorstwa realizujące cele publiczne, Służby publiczne</w:t>
      </w:r>
    </w:p>
    <w:p w14:paraId="240F20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0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regionu korzystający z rezultatów projektu, mieszkańcy województwa</w:t>
      </w:r>
    </w:p>
    <w:p w14:paraId="240F20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0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gospodarka_ściekowa, gospodarka_wodna, kanalizacja, ochrona_wód, ścieki, sieć_kanalizacyjna, sieci_wodociagowe, stacja_uzdatniania_wody, susza, zaopatrzenie_w_wodę</w:t>
      </w:r>
    </w:p>
    <w:p w14:paraId="240F20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0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240F20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0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http://funduszeUE.lubelskie.pl</w:t>
      </w:r>
    </w:p>
    <w:p w14:paraId="240F20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0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WLWK-PLRO047 - Długość wybudowanej sieci kanalizacyjnej</w:t>
      </w:r>
    </w:p>
    <w:p w14:paraId="240F20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WLWK-PLRO045 - Długość wybudowanej sieci wodociągowej</w:t>
      </w:r>
    </w:p>
    <w:p w14:paraId="240F20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WLWK-PLRO048 - Długość zmodernizowanej sieci kanalizacyjnej</w:t>
      </w:r>
    </w:p>
    <w:p w14:paraId="240F20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WLWK-PLRO046 - Długość zmodernizowanej sieci wodociągowej</w:t>
      </w:r>
    </w:p>
    <w:p w14:paraId="240F20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WLWK-PLRO056 - Liczba doposażonych stacji uzdatniania wody</w:t>
      </w:r>
    </w:p>
    <w:p w14:paraId="240F20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WLWK-PLRO049 - Liczba nowych indywidualnych / przydomowych oczyszczalni ścieków</w:t>
      </w:r>
    </w:p>
    <w:p w14:paraId="240F20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0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WLWK-PLRO233 - Liczba przebudowanych / zmodernizowanych  ujęć wody</w:t>
      </w:r>
    </w:p>
    <w:p w14:paraId="240F20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WLWK-PLRO055 - Liczba przebudowanych stacji uzdatniania wody</w:t>
      </w:r>
    </w:p>
    <w:p w14:paraId="240F20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WLWK-PLRO052 - Liczba rozbudowanych / przebudowanych / zmodernizowanych oczyszczalni ścieków komunalnych</w:t>
      </w:r>
    </w:p>
    <w:p w14:paraId="240F20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WLWK-PLRO051 - Liczba wybudowanych oczyszczalni ścieków komunalnych</w:t>
      </w:r>
    </w:p>
    <w:p w14:paraId="240F21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WLWK-PLRO054 - Liczba wybudowanych stacji uzdatniania wody</w:t>
      </w:r>
    </w:p>
    <w:p w14:paraId="240F21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WLWK-PLRO232 - Liczba wybudowanych ujęć wody</w:t>
      </w:r>
    </w:p>
    <w:p w14:paraId="240F21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WLWK-RCO032 - Wydajność nowo wybudowanych lub zmodernizowanych instalacji oczyszczania ścieków</w:t>
      </w:r>
    </w:p>
    <w:p w14:paraId="240F21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1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WLWK-PLRR038 - Ludność podłączona do wybudowanej lub zmodernizowanej zbiorczej kanalizacji sanitarnej</w:t>
      </w:r>
    </w:p>
    <w:p w14:paraId="240F21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WLWK-RCR041 - Ludność przyłączona do udoskonalonych zbiorowych systemów zaopatrzenia w wodę</w:t>
      </w:r>
    </w:p>
    <w:p w14:paraId="240F21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WLWK-RCR042 - Ludność przyłączona do zbiorowych systemów oczyszczania ścieków co najmniej II stopnia</w:t>
      </w:r>
    </w:p>
    <w:p w14:paraId="240F21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WLWK-RCR043 - Straty wody w zbiorowych systemach zaopatrzenia w wodę</w:t>
      </w:r>
    </w:p>
    <w:p w14:paraId="240F21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WLWK-PLRR018 - Wielkość ładunku ścieków poddanych ulepszonemu oczyszczaniu</w:t>
      </w:r>
    </w:p>
    <w:p w14:paraId="240F21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PROG-FELCR06 - Ludność podłączona do nowowybudowanych zbiorowych systemów zaopatrzenia w wodę</w:t>
      </w:r>
    </w:p>
    <w:p w14:paraId="240F21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10B"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3" w:name="_Toc241668187"/>
      <w:r>
        <w:rPr>
          <w:rFonts w:ascii="Calibri" w:hAnsi="Calibri" w:cs="Calibri"/>
          <w:sz w:val="32"/>
        </w:rPr>
        <w:lastRenderedPageBreak/>
        <w:t>Działanie FELU.03.05 Zrównoważona gospodarka wodno-ściekowa w ramach Zintegrowanych Inwestycji Terytorialnych</w:t>
      </w:r>
      <w:bookmarkEnd w:id="23"/>
    </w:p>
    <w:p w14:paraId="240F21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1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 - Wspieranie bezpiecznego dostępu do wody, zrównoważonej gospodarki wodnej obejmującej zintegrowane zarządzanie wodą, a także odporności wodnej</w:t>
      </w:r>
    </w:p>
    <w:p w14:paraId="240F21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1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4 498 560,00</w:t>
      </w:r>
    </w:p>
    <w:p w14:paraId="240F21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1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4 273 632,00</w:t>
      </w:r>
    </w:p>
    <w:p w14:paraId="240F21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1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060 - Działania w zakresie przystosowania się do zmian klimatu oraz zapobieganie ryzykom związanym z klimatem i zarządzanie nimi: inne ryzyka, np. burze i susze (w tym zwiększanie świadomości, ochrona ludności i systemy zarządzania klęskami żywiołowymi i katastrofami, infrastruktura i podejście ekosystemowe), 062 - Dostarczanie wody do spożycia przez ludzi (infrastruktura do celów ujęcia, uzdatniania, magazynowania i dystrybucji, działania na rzecz efektywności, zaopatrzenie w wodę do spożycia), 063 - Dostarczanie wody do spożycia przez ludzi (infrastruktura do celów ujęcia, uzdatniania, magazynowania i dystrybucji, działania na rzecz efektywności, zaopatrzenie w wodę do spożycia) zgodne z kryteriami efektywności, 064 - Gospodarka wodna i ochrona zasobów wodnych (w tym gospodarowanie wodami w dorzeczu, konkretne działania w zakresie przystosowania się do zmian klimatu, ponowne użycie, ograniczanie wycieków), 065 - Odprowadzanie i oczyszczanie ścieków, 066 - Odprowadzanie i oczyszczanie ścieków zgodne z kryteriami efektywności energetycznej</w:t>
      </w:r>
    </w:p>
    <w:p w14:paraId="240F21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1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Projekty z zakresu gospodarki ściekowej w aglomeracjach od co najmniej 2 tys. do poniżej 15 tys. RLM ujętych w KPOŚK, które nie spełniają wymogów Dyrektywy Rady z dnia 21 maja 1991 r. dotyczącej oczyszczania ścieków komunalnych.</w:t>
      </w:r>
      <w:r>
        <w:br/>
        <w:t>2.</w:t>
      </w:r>
      <w:r>
        <w:tab/>
        <w:t>Projekty z zakresu budowy infrastruktury do ujmowania, uzdatniania i dystrybucji wody, realizowane w ograniczonym zakresie jako element kompleksowych projektów regulujących gospodarkę ściekową (w ramach KPOŚK) lub jako samodzielne projekty na obszarach, dla których zapewniony jest odpowiedni sposób zagospodarowania ścieków zgodny z Dyrektywą Rady z dnia 21 maja 1991 r., dotyczącą oczyszczania ścieków komunalnych.</w:t>
      </w:r>
      <w:r>
        <w:br/>
        <w:t>3.</w:t>
      </w:r>
      <w:r>
        <w:tab/>
        <w:t>Projekty z zakresu modernizacji, naprawy infrastruktury do ujmowania, uzdatniania i dystrybucji wody, ograniczające straty w dostawach wody do spożycia, zmniejszające ryzyko wystąpienia awarii oraz zwiększające efektywność wykorzystania wody w gminach o liczbie ludności nie większej niż 15 tys. mieszkańców.</w:t>
      </w:r>
      <w:r>
        <w:br/>
      </w:r>
      <w:r>
        <w:lastRenderedPageBreak/>
        <w:t>Ad. 1,2</w:t>
      </w:r>
      <w:r>
        <w:br/>
        <w:t>1.</w:t>
      </w:r>
      <w:r>
        <w:tab/>
        <w:t>Dokumentem stanowiącym podstawę do wyboru projektów w zakresie odprowadzania i oczyszczania ścieków będzie KPOŚK zawierający listę potrzeb inwestycyjnych w poszczególnych aglomeracjach.</w:t>
      </w:r>
      <w:r>
        <w:br/>
        <w:t>2.</w:t>
      </w:r>
      <w:r>
        <w:tab/>
        <w:t>Dofinansowanie do projektów z zakresu gospodarki wodno-ściekowej, realizowanych na terenie aglomeracji ujętych w KPOŚK, będzie możliwe jedynie w przypadku posiadania obowiązującej uchwały w sprawie wyznaczenia aglomeracji na przedmiotowym obszarze.</w:t>
      </w:r>
      <w:r>
        <w:br/>
        <w:t>3.</w:t>
      </w:r>
      <w:r>
        <w:tab/>
        <w:t>Wsparcie będą mogły uzyskać wyłącznie aglomeracje, które nie spełniają wymogów dyrektywy Rady z dnia 21 maja 1991 r. dotyczącej oczyszczania ścieków komunalnych.</w:t>
      </w:r>
      <w:r>
        <w:br/>
        <w:t>Ad. 2,3</w:t>
      </w:r>
      <w:r>
        <w:br/>
        <w:t>1.</w:t>
      </w:r>
      <w:r>
        <w:tab/>
        <w:t xml:space="preserve">Preferowane będą projekty dotyczące infrastruktury do ujmowania, uzdatniania i dystrybucji wody, które znajdują się w wykazie „Programu Inwestycyjnego w zakresie poprawy jakości i ograniczania strat wody przeznaczonej do spożycia przez ludzi”. https://www.gov.pl/attachment/caf66919-d661-4492-b238-d8af4994bb24 </w:t>
      </w:r>
      <w:r>
        <w:br/>
        <w:t>Ad. 1</w:t>
      </w:r>
      <w:r>
        <w:br/>
        <w:t>1.</w:t>
      </w:r>
      <w:r>
        <w:tab/>
        <w:t xml:space="preserve">Projekty będą realizowane w ramach dwóch priorytetów, w kolejności: priorytet 1 - aglomeracje w przedziale od co najmniej 10 tyś do poniżej 15 tys. RLM, priorytet 2- aglomeracje z przedziału od co najmniej 2 tys. do poniżej 10 tyś. RLM, pod warunkiem, że potrzeby priorytetu 1 zostaną zaspokojone. </w:t>
      </w:r>
      <w:r>
        <w:br/>
        <w:t>2.</w:t>
      </w:r>
      <w:r>
        <w:tab/>
        <w:t>Dofinansowanie projektów dotyczących budowy przydomowych oczyszczalni ścieków w ramach zintegrowanej gospodarki ściekowej w aglomeracji będzie możliwe pod warunkiem zapewnienia ekonomicznie uzasadnionych i trwałych finansowo rozwiązań. Zgodnie z art. 3 ust. 1 Dyrektywy 91/271/EWG Państwa Członkowskie zapewniają, aby wszystkie aglomeracje wyposażone były w system zbierania ścieków komunalnych. W przypadku gdy ustanowienie systemu zbierania nie jest uzasadnione, jako że nie przyniosłoby korzyści dla środowiska lub powodowałoby nadmierne koszty, należy zastosować pojedyncze systemy lub inne właściwe systemy zapewniające ten sam poziom ochrony środowiska.</w:t>
      </w:r>
      <w:r>
        <w:br/>
        <w:t>3.</w:t>
      </w:r>
      <w:r>
        <w:tab/>
        <w:t>Wsparcie przydomowych oczyszczalni ścieków możliwe jest wyłącznie w przypadku zapewnienia regularnego monitoringu, kontroli i utrzymania tych instalacji, odpowiedniego postepowania z osadami ściekowymi oraz zapewnienia trwałości tych instalacji.</w:t>
      </w:r>
      <w:r>
        <w:br/>
        <w:t>Ad. 2</w:t>
      </w:r>
      <w:r>
        <w:br/>
        <w:t>1.</w:t>
      </w:r>
      <w:r>
        <w:tab/>
        <w:t>Realizacja projektów związanych ze wsparciem systemów zaopatrzenia w wodę polegających na ich budowie będzie dopuszczalna w ograniczonym zakresie jako uzupełniający element projektów dotyczących gospodarki ściekowej (limit na poziomie projektu: 25% kosztów projektu) lub jako samodzielne projekty, gdy na danym terenie zapewniony jest sposób zagospodarowania ścieków zgodny z Dyrektywą Rady z dnia 21 maja 1991 r. dotyczącą oczyszczania ścieków komunalnych (bądź taka zgodność zostanie uzyskana w wyniku zakończenia realizowanych już projektów).</w:t>
      </w:r>
      <w:r>
        <w:br/>
        <w:t>2.</w:t>
      </w:r>
      <w:r>
        <w:tab/>
        <w:t>Możliwość dofinansowania realizacji samodzielnych projektów w zakresie budowy infrastruktury niezbędnej do ujęcia, uzdatniania, magazynowania i dystrybucji wody do spożycia dotyczy wyłącznie gmin o liczbie ludności poniżej 15 tysięcy mieszkańców.</w:t>
      </w:r>
      <w:r>
        <w:br/>
        <w:t>Kluczowe warunki realizacji projektów:</w:t>
      </w:r>
      <w:r>
        <w:br/>
        <w:t>1.</w:t>
      </w:r>
      <w:r>
        <w:tab/>
        <w:t>Szczegółowe zasady kwalifikowalności wydatków określone zostaną w Regulaminie wyboru projektów.</w:t>
      </w:r>
      <w:r>
        <w:br/>
      </w:r>
      <w:r>
        <w:lastRenderedPageBreak/>
        <w:t>2.</w:t>
      </w:r>
      <w:r>
        <w:tab/>
        <w:t>Realizowane przedsięwzięcia muszą zostać zidentyfikowane w strategii terytorialnej będącej podstawą realizacji Zintegrowanych Inwestycji Terytorialnych, pozytywnie zaopiniowanej pod kątem możliwości jej finansowania w ramach Programu, przez IZ.</w:t>
      </w:r>
      <w:r>
        <w:br/>
        <w:t>3.</w:t>
      </w:r>
      <w:r>
        <w:tab/>
        <w:t>Realizowane inwestycje muszą mieć charakter zintegrowany, tj. muszą wpisywać się w cele rozwoju obszaru funkcjonalnego objętego instrumentem i być ukierunkowane na rozwiązywanie wspólnych problemów rozwojowych – oznacza to, że projekt taki musi mieć wpływ na więcej niż 1 gminę w MOF oraz jego realizacja musi być uzasadniona zarówno w części diagnostycznej, jak i w części kierunkowej strategii. Inwestycje te muszą spełniać jeden z następujących warunków: muszą być projektem partnerskim w rozumieniu art. 39 ustawy wdrożeniowej lub deklarowany powinien być wspólny efekt, rezultat lub produkt końcowy projektu, tj. wspólne wykorzystanie stworzonej w jego ramach infrastruktury.</w:t>
      </w:r>
      <w:r>
        <w:br/>
        <w:t>4.</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5.</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p>
    <w:p w14:paraId="240F21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1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1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1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1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1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1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1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240F21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1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Brak, do 7% stawka ryczałtowa na koszty pośrednie (podstawa wyliczenia: koszty bezpośrednie) [art. 54(a) CPR]</w:t>
      </w:r>
    </w:p>
    <w:p w14:paraId="240F21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1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1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1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1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1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1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1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1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1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1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1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Partnerstwa, Przedsiębiorstwa realizujące cele publiczne, Służby publiczne, Zintegrowane Inwestycje Terytorialne (ZIT)</w:t>
      </w:r>
    </w:p>
    <w:p w14:paraId="240F21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1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21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1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gospodarka_ściekowa, gospodarka_wodna, ochrona_wód, ścieki, sieć_kanalizacyjna, sieci_wodociagowe, stacja_uzdatniania_wody, zaopatrzenie_w_wodę, Zintegrowane_Inwestycje_Terytorialne, zużycie_wody</w:t>
      </w:r>
    </w:p>
    <w:p w14:paraId="240F21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1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240F21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1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1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1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WLWK-PLRO047 - Długość wybudowanej sieci kanalizacyjnej</w:t>
      </w:r>
    </w:p>
    <w:p w14:paraId="240F21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WLWK-PLRO045 - Długość wybudowanej sieci wodociągowej</w:t>
      </w:r>
    </w:p>
    <w:p w14:paraId="240F21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WLWK-PLRO048 - Długość zmodernizowanej sieci kanalizacyjnej</w:t>
      </w:r>
    </w:p>
    <w:p w14:paraId="240F21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WLWK-PLRO046 - Długość zmodernizowanej sieci wodociągowej</w:t>
      </w:r>
    </w:p>
    <w:p w14:paraId="240F21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WLWK-PLRO056 - Liczba doposażonych stacji uzdatniania wody</w:t>
      </w:r>
    </w:p>
    <w:p w14:paraId="240F21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WLWK-PLRO049 - Liczba nowych indywidualnych / przydomowych oczyszczalni ścieków</w:t>
      </w:r>
    </w:p>
    <w:p w14:paraId="240F21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1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WLWK-PLRO233 - Liczba przebudowanych / zmodernizowanych  ujęć wody</w:t>
      </w:r>
    </w:p>
    <w:p w14:paraId="240F21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WLWK-PLRO055 - Liczba przebudowanych stacji uzdatniania wody</w:t>
      </w:r>
    </w:p>
    <w:p w14:paraId="240F21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WLWK-PLRO052 - Liczba rozbudowanych / przebudowanych / zmodernizowanych oczyszczalni ścieków komunalnych</w:t>
      </w:r>
    </w:p>
    <w:p w14:paraId="240F21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WLWK-PLRO051 - Liczba wybudowanych oczyszczalni ścieków komunalnych</w:t>
      </w:r>
    </w:p>
    <w:p w14:paraId="240F21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WLWK-PLRO054 - Liczba wybudowanych stacji uzdatniania wody</w:t>
      </w:r>
    </w:p>
    <w:p w14:paraId="240F21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WLWK-PLRO232 - Liczba wybudowanych ujęć wody</w:t>
      </w:r>
    </w:p>
    <w:p w14:paraId="240F21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1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1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WLWK-RCO032 - Wydajność nowo wybudowanych lub zmodernizowanych instalacji oczyszczania ścieków</w:t>
      </w:r>
    </w:p>
    <w:p w14:paraId="240F21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1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WLWK-PLRR038 - Ludność podłączona do wybudowanej lub zmodernizowanej zbiorczej kanalizacji sanitarnej</w:t>
      </w:r>
    </w:p>
    <w:p w14:paraId="240F21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WLWK-RCR041 - Ludność przyłączona do udoskonalonych zbiorowych systemów zaopatrzenia w wodę</w:t>
      </w:r>
    </w:p>
    <w:p w14:paraId="240F21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WLWK-RCR042 - Ludność przyłączona do zbiorowych systemów oczyszczania ścieków co najmniej II stopnia</w:t>
      </w:r>
    </w:p>
    <w:p w14:paraId="240F21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WLWK-RCR043 - Straty wody w zbiorowych systemach zaopatrzenia w wodę</w:t>
      </w:r>
    </w:p>
    <w:p w14:paraId="240F21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WLWK-PLRR018 - Wielkość ładunku ścieków poddanych ulepszonemu oczyszczaniu</w:t>
      </w:r>
    </w:p>
    <w:p w14:paraId="240F21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PROG-FELCR06 - Ludność podłączona do nowowybudowanych zbiorowych systemów zaopatrzenia w wodę</w:t>
      </w:r>
    </w:p>
    <w:p w14:paraId="240F21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14D"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4" w:name="_Toc241668188"/>
      <w:r>
        <w:rPr>
          <w:rFonts w:ascii="Calibri" w:hAnsi="Calibri" w:cs="Calibri"/>
          <w:sz w:val="32"/>
        </w:rPr>
        <w:t>Działanie FELU.03.06 Gospodarka odpadami w sektorze publicznym</w:t>
      </w:r>
      <w:bookmarkEnd w:id="24"/>
    </w:p>
    <w:p w14:paraId="240F21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1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 - Wspieranie transformacji w kierunku gospodarki o obiegu zamkniętym i gospodarki zasobooszczędnej</w:t>
      </w:r>
    </w:p>
    <w:p w14:paraId="240F21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1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30 099 114,00</w:t>
      </w:r>
    </w:p>
    <w:p w14:paraId="240F21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1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28 594 160,00</w:t>
      </w:r>
    </w:p>
    <w:p w14:paraId="240F21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1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046 - Wsparcie dla podmiotów, które świadczą usługi wspierające gospodarkę niskoemisyjną i odporność na zmiany klimatu, w tym działania w zakresie zwiększania świadomości, 067 - Gospodarowanie odpadami z gospodarstw domowych: działania w zakresie zapobiegania powstawaniu odpadów, ich minimalizacji, segregacji, ponownego użycia, recyklingu, 070 - Gospodarowanie odpadami przemysłowymi i handlowymi: odpady resztkowe i niebezpieczne, 071 - Promowanie wykorzystania materiałów pochodzących z recyklingu jako surowców, 072 - Wykorzystanie materiałów pochodzących z recyklingu jako surowców zgodnie z kryteriami efektywności, 075 - Wsparcie ekologicznych procesów produkcyjnych oraz efektywnego wykorzystywania zasobów w MŚP</w:t>
      </w:r>
    </w:p>
    <w:p w14:paraId="240F21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1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Projekty z zakresu gospodarki odpadami komunalnymi, dotyczące:</w:t>
      </w:r>
      <w:r>
        <w:br/>
        <w:t>a)</w:t>
      </w:r>
      <w:r>
        <w:tab/>
        <w:t>Infrastruktury do selektywnego zbierania odpadów komunalnych (w tym budowa / modernizacja PSZOK, punktów napraw i przygotowania do ponownego użycia, systemowe zagospodarowanie odpadów w kompostownikach przydomowych),</w:t>
      </w:r>
      <w:r>
        <w:br/>
        <w:t>b)</w:t>
      </w:r>
      <w:r>
        <w:tab/>
        <w:t>Infrastruktury do recyklingu i innych procesów odzysku odpadów wraz z procesami przygotowania odpadów do ich odzysku (rozbudowa linii sortowniczych odpadów w celu zwiększenia stopnia oraz jakości odzysku/recyklingu materiałów, modernizacja instalacji przetwarzania odpadów ulegających biodegradacji, budowa instalacji do przygotowania wyselekcjonowanych frakcji odpadów do recyklingu i innych procesów odzysku odpadów oraz do procesów produkcyjnych wykorzystujących odpady jako surowce),</w:t>
      </w:r>
      <w:r>
        <w:br/>
        <w:t>c)</w:t>
      </w:r>
      <w:r>
        <w:tab/>
        <w:t>Modernizacji procesów technologicznych w istniejących instalacjach mechaniczno-biologicznego przetwarzania odpadów poprzez dostosowanie do przetwarzania odpadów ulegających biodegradacji zbieranych selektywnie.</w:t>
      </w:r>
      <w:r>
        <w:br/>
        <w:t>2.</w:t>
      </w:r>
      <w:r>
        <w:tab/>
        <w:t>Projekty polegające na wsparciu instalacji do unieszkodliwiania odpadów medycznych i weterynaryjnych.</w:t>
      </w:r>
      <w:r>
        <w:br/>
        <w:t>3.</w:t>
      </w:r>
      <w:r>
        <w:tab/>
        <w:t>Projekty mające na celu zminimalizowanie zużycia zasobów, ilości wytwarzanych odpadów produkcyjnych, emisji zanieczyszczeń i strat energii służące osiągnięciu założeń GOZ.</w:t>
      </w:r>
      <w:r>
        <w:br/>
        <w:t>4.</w:t>
      </w:r>
      <w:r>
        <w:tab/>
        <w:t>Działania informacyjno-edukacyjne w zakresie gospodarki o obiegu zamkniętym.</w:t>
      </w:r>
      <w:r>
        <w:br/>
        <w:t>Ad. 1 i 3</w:t>
      </w:r>
      <w:r>
        <w:br/>
        <w:t>1.</w:t>
      </w:r>
      <w:r>
        <w:tab/>
        <w:t>Inwestycje w instalacje do przetwarzania odpadów zmieszanych mające na celu zwiększenie stopnia odzysku surowców dobrej jakości, bez wzrostu mocy przerobowych tych instalacji, mogą być dopuszczone w ograniczonym zakresie, pod warunkiem wykazania wzrostu odzysku surowców oraz zapewnienia wysokiej jakości produktu na końcu procesu.</w:t>
      </w:r>
      <w:r>
        <w:br/>
        <w:t>2.</w:t>
      </w:r>
      <w:r>
        <w:tab/>
        <w:t>Projekty dotyczące wdrażania recyklingu, niemające charakteru badawczo-rozwojowego, mogą być objęte wsparciem o wartości nie większej niż 8 mln zł kosztów kwalifikowalnych.</w:t>
      </w:r>
      <w:r>
        <w:br/>
        <w:t xml:space="preserve">3. Uwzględniając powyższe ograniczenie kwotowe dot. projektów dotyczących wdrażania recyklingu, w pozostałych przypadkach możliwe jest wsparcie dla inwestycji o wartości kosztów kwalifikowalnych nie </w:t>
      </w:r>
      <w:r>
        <w:lastRenderedPageBreak/>
        <w:t xml:space="preserve">większych niż 12 mln zł. </w:t>
      </w:r>
      <w:r>
        <w:br/>
        <w:t>Kluczowe warunki realizacji projektów:</w:t>
      </w:r>
      <w:r>
        <w:br/>
        <w:t>1.</w:t>
      </w:r>
      <w:r>
        <w:tab/>
        <w:t>Szczegółowe zasady kwalifikowalności wydatków określone zostaną w Regulaminie wyboru projektów.</w:t>
      </w:r>
      <w:r>
        <w:br/>
        <w:t>2.</w:t>
      </w:r>
      <w:r>
        <w:tab/>
        <w:t>Wsparcie działań musi być zgodne z zamierzonym sposobem gospodarowania odpadami uwzględnionym w Planie gospodarki odpadami dla województwa lubelskiego, z SRWL2030 i innymi dokumentami strategicznymi oraz z horyzontalnymi politykami Wspólnoty, w tym w zakresie osiągnięcia celów ujętych w Dyrektywie 2008/98/WE i hierarchią postępowania z odpadami.</w:t>
      </w:r>
      <w:r>
        <w:br/>
        <w:t>3.</w:t>
      </w:r>
      <w:r>
        <w:tab/>
        <w:t>Warunkiem wsparcia inwestycji infrastrukturalnych dotyczących gospodarowania odpadami komunalnymi będzie ich ujęcie w planie inwestycyjnym stanowiącym załącznik do zaktualizowanego planu gospodarki odpadami dla województwa lubelskiego, natomiast inwestycji infrastrukturalnych dotyczących gospodarowania odpadami innymi niż komunalne w tym odpadami medycznymi będzie ich ujęcie w zaktualizowanym planie gospodarki odpadami dla województwa lubelskiego.</w:t>
      </w:r>
      <w:r>
        <w:br/>
        <w:t>4.</w:t>
      </w:r>
      <w:r>
        <w:tab/>
        <w:t>Preferowane będą projekty wynikające ze strategii terytorialnych opracowanych przez partnerstwa JST w celu wdrażania Innego Instrumentu Terytorialnego (strategii rozwoju ponadlokalnego lub strategii IIT).</w:t>
      </w:r>
      <w:r>
        <w:br/>
        <w:t>5.</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1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1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1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1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1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1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(UE)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 (C/2025/8820),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Rozporządzenie Komisji (UE) nr 651/2014 z dnia 17 czerwca 2014 r. uznające niektóre rodzaje pomocy za zgodne z rynkiem wewnętrznym w zastosowaniu art. 107 i 108 Traktatu (Dz. Urz. UE L 187 z 26.06.2014, str. 1, z późn. zm.)</w:t>
      </w:r>
    </w:p>
    <w:p w14:paraId="240F21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Pomoc publiczna – krajowa podstawa prawna</w:t>
      </w:r>
    </w:p>
    <w:p w14:paraId="240F21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 Rozporządzenie Ministra Funduszy i Polityki Regionalnej z dnia 7 grudnia 2023 r. w sprawie udzielania pomocy inwestycyjnej na efektywne gospodarowanie zasobami i wspieranie przechodzenia na gospodarkę o obiegu zamkniętym w ramach regionalnych programów na lata 2021–2027 (Dz.U. 2023 poz. 2664)</w:t>
      </w:r>
    </w:p>
    <w:p w14:paraId="240F21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1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1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1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1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1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1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1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1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1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1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1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1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1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Partnerstwa</w:t>
      </w:r>
    </w:p>
    <w:p w14:paraId="240F21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1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regionu korzystający z rezultatów projektu, mieszkańcy województwa</w:t>
      </w:r>
    </w:p>
    <w:p w14:paraId="240F21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1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bioodpady, gospodarka_o_obiegu_zamkniętym, gospodarka_odpadami, kompostowanie, odpady_komunalne, odpady_niebezpieczne, punkt_selektywnej_zbiórki_odpadów_komunalnych, recykling, selektywna_zbiórka, utylizacja</w:t>
      </w:r>
    </w:p>
    <w:p w14:paraId="240F21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Kryteria wyboru projektów</w:t>
      </w:r>
    </w:p>
    <w:p w14:paraId="240F21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1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1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WLWK-RCO034 - Dodatkowe zdolności w zakresie recyklingu odpadów</w:t>
      </w:r>
    </w:p>
    <w:p w14:paraId="240F21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WLWK-RCO107 - Inwestycje w obiekty do selektywnego zbierania odpadów</w:t>
      </w:r>
    </w:p>
    <w:p w14:paraId="240F21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WLWK-PLRO064 - Liczba doposażonych zakładów zagospodarowania odpadów</w:t>
      </w:r>
    </w:p>
    <w:p w14:paraId="240F21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1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1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WLWK-PLRO063 - Liczba przebudowanych zakładów zagospodarowania odpadów</w:t>
      </w:r>
    </w:p>
    <w:p w14:paraId="240F21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WLWK-PLRO228 - Liczba przeprowadzonych kampanii informacyjno-edukacyjnych w zakresie gospodarki o obiegu zamkniętym </w:t>
      </w:r>
    </w:p>
    <w:p w14:paraId="240F21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WLWK-PLRO180 - Liczba utworzonych Punktów Napraw i Ponownego Użycia</w:t>
      </w:r>
    </w:p>
    <w:p w14:paraId="240F21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WLWK-PLRO181 - Liczba wspartych instalacji termicznego przekształcania odpadów</w:t>
      </w:r>
    </w:p>
    <w:p w14:paraId="240F21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WLWK-PLRO182 - Liczba wspartych inwestycji w zakresie zagospodarowania odpadów w procesach innych niż recykling</w:t>
      </w:r>
    </w:p>
    <w:p w14:paraId="240F21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WLWK-PLRO060 - Liczba wspartych punktów selektywnego zbierania odpadów komunalnych (PSZOK)</w:t>
      </w:r>
    </w:p>
    <w:p w14:paraId="240F21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WLWK-PLRO062 - Liczba wybudowanych zakładów zagospodarowania odpadów</w:t>
      </w:r>
    </w:p>
    <w:p w14:paraId="240F21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WLWK-PLRO067 - Masa unieszkodliwionych odpadów niebezpiecznych</w:t>
      </w:r>
    </w:p>
    <w:p w14:paraId="240F21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WLWK-PLRO065 - Masa wycofanych z użytkowania i unieszkodliwionych wyrobów medycznych</w:t>
      </w:r>
    </w:p>
    <w:p w14:paraId="240F21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WLWK-RCO119 - Odpady przygotowane do ponownego użycia</w:t>
      </w:r>
    </w:p>
    <w:p w14:paraId="240F21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1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WLWK-PLRR066 - Liczba osób, do których zostały skierowane kampanie informacyjno-edukacyjne w zakresie gospodarki o obiegu zamkniętym </w:t>
      </w:r>
    </w:p>
    <w:p w14:paraId="240F21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WLWK-PLRR019 - Liczba osób objętych selektywnym zbieraniem odpadów komunalnych</w:t>
      </w:r>
    </w:p>
    <w:p w14:paraId="240F21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WLWK-PLRR041 - Masa odpadów zagospodarowana w procesach innych niż recykling</w:t>
      </w:r>
    </w:p>
    <w:p w14:paraId="240F21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WLWK-PLRR040 - Masa przedmiotów przekazanych do Punktów Napraw i Ponownego Użycia</w:t>
      </w:r>
    </w:p>
    <w:p w14:paraId="240F21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WLWK-RCR047 - Odpady poddane recyklingowi</w:t>
      </w:r>
    </w:p>
    <w:p w14:paraId="240F21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WLWK-RCR048 - Odpady wykorzystywane jako surowce</w:t>
      </w:r>
    </w:p>
    <w:p w14:paraId="240F21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WLWK-RCR103 - Odpady zbierane selektywnie</w:t>
      </w:r>
    </w:p>
    <w:p w14:paraId="240F21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PROG-FELCR08 - Masa odpadów medycznych i weterynaryjnych poddanych unieszkodliwieniu</w:t>
      </w:r>
    </w:p>
    <w:p w14:paraId="240F21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lastRenderedPageBreak/>
        <w:t>Kod i nazwa działania</w:t>
      </w:r>
    </w:p>
    <w:p w14:paraId="240F218E"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5" w:name="_Toc241668189"/>
      <w:r>
        <w:rPr>
          <w:rFonts w:ascii="Calibri" w:hAnsi="Calibri" w:cs="Calibri"/>
          <w:sz w:val="32"/>
        </w:rPr>
        <w:t>Działanie FELU.03.07 Gospodarka odpadami w sektorze publicznym w ramach Zintegrowanych Inwestycji Terytorialnych Miejskich Obszarów Funkcjonalnych</w:t>
      </w:r>
      <w:bookmarkEnd w:id="25"/>
    </w:p>
    <w:p w14:paraId="240F21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1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 - Wspieranie transformacji w kierunku gospodarki o obiegu zamkniętym i gospodarki zasobooszczędnej</w:t>
      </w:r>
    </w:p>
    <w:p w14:paraId="240F21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1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4 091 884,00</w:t>
      </w:r>
    </w:p>
    <w:p w14:paraId="240F21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1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3 887 290,00</w:t>
      </w:r>
    </w:p>
    <w:p w14:paraId="240F21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1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046 - Wsparcie dla podmiotów, które świadczą usługi wspierające gospodarkę niskoemisyjną i odporność na zmiany klimatu, w tym działania w zakresie zwiększania świadomości, 067 - Gospodarowanie odpadami z gospodarstw domowych: działania w zakresie zapobiegania powstawaniu odpadów, ich minimalizacji, segregacji, ponownego użycia, recyklingu, 070 - Gospodarowanie odpadami przemysłowymi i handlowymi: odpady resztkowe i niebezpieczne, 071 - Promowanie wykorzystania materiałów pochodzących z recyklingu jako surowców, 072 - Wykorzystanie materiałów pochodzących z recyklingu jako surowców zgodnie z kryteriami efektywności, 075 - Wsparcie ekologicznych procesów produkcyjnych oraz efektywnego wykorzystywania zasobów w MŚP</w:t>
      </w:r>
    </w:p>
    <w:p w14:paraId="240F21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1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Projekty z zakresu gospodarki odpadami komunalnymi, dotyczące:</w:t>
      </w:r>
      <w:r>
        <w:br/>
        <w:t>a)</w:t>
      </w:r>
      <w:r>
        <w:tab/>
        <w:t>Infrastruktury do selektywnego zbierania odpadów komunalnych (w tym budowa / modernizacja PSZOK, punktów napraw i przygotowania do ponownego użycia, systemowe zagospodarowanie odpadów w kompostownikach przydomowych),</w:t>
      </w:r>
      <w:r>
        <w:br/>
        <w:t>b)</w:t>
      </w:r>
      <w:r>
        <w:tab/>
        <w:t>Infrastruktury do recyklingu i innych procesów odzysku odpadów wraz z procesami przygotowania odpadów do ich odzysku (rozbudowa linii sortowniczych odpadów w celu zwiększenia stopnia oraz jakości odzysku/recyklingu materiałów, modernizacja instalacji przetwarzania odpadów ulegających biodegradacji, budowa instalacji do przygotowania wyselekcjonowanych frakcji odpadów do recyklingu i innych procesów odzysku odpadów oraz do procesów produkcyjnych wykorzystujących odpady jako surowce),</w:t>
      </w:r>
      <w:r>
        <w:br/>
        <w:t>c)</w:t>
      </w:r>
      <w:r>
        <w:tab/>
        <w:t xml:space="preserve">Modernizacji procesów technologicznych w istniejących instalacjach mechaniczno-biologicznego przetwarzania odpadów poprzez dostosowanie do przetwarzania odpadów ulegających biodegradacji </w:t>
      </w:r>
      <w:r>
        <w:lastRenderedPageBreak/>
        <w:t>zbieranych selektywnie.</w:t>
      </w:r>
      <w:r>
        <w:br/>
        <w:t>2.</w:t>
      </w:r>
      <w:r>
        <w:tab/>
        <w:t>Działania informacyjno-edukacyjne w zakresie gospodarki o obiegu zamkniętym.</w:t>
      </w:r>
      <w:r>
        <w:br/>
        <w:t>Ad. 1</w:t>
      </w:r>
      <w:r>
        <w:br/>
        <w:t>-</w:t>
      </w:r>
      <w:r>
        <w:tab/>
        <w:t>Inwestycje w instalacje do przetwarzania odpadów zmieszanych mające na celu zwiększenie stopnia odzysku surowców dobrej jakości, bez wzrostu mocy przerobowych tych instalacji, mogą być dopuszczone w ograniczonym zakresie, pod warunkiem wykazania wzrostu odzysku surowców oraz zapewnienia wysokiej jakości produktu na końcu procesu.</w:t>
      </w:r>
      <w:r>
        <w:br/>
        <w:t>-</w:t>
      </w:r>
      <w:r>
        <w:tab/>
        <w:t>Projekty dotyczące wdrażania recyklingu, niemające charakteru badawczo-rozwojowego, mogą być objęte wsparciem o wartości nie większej niż 8 mln zł kosztów kwalifikowalnych.</w:t>
      </w:r>
      <w:r>
        <w:br/>
        <w:t>- Uwzględniając powyższe ograniczenie kwotowe dot. projektów dotyczących wdrażania recyklingu, w pozostałych przypadkach możliwe jest wsparcie dla inwestycji o wartości kosztów kwalifikowalnych nie większych niż 12 mln zł.</w:t>
      </w:r>
      <w:r>
        <w:br/>
        <w:t>Kluczowe warunki realizacji projektów:</w:t>
      </w:r>
      <w:r>
        <w:br/>
        <w:t>1.</w:t>
      </w:r>
      <w:r>
        <w:tab/>
        <w:t xml:space="preserve">Szczegółowe zasady kwalifikowalności wydatków określone zostaną w Regulaminie wyboru projektów. </w:t>
      </w:r>
      <w:r>
        <w:br/>
        <w:t>2.</w:t>
      </w:r>
      <w:r>
        <w:tab/>
        <w:t>Realizowane przedsięwzięcia muszą zostać zidentyfikowane w strategii terytorialnej będącej podstawą realizacji Zintegrowanych Inwestycji Terytorialnych, pozytywnie zaopiniowanej pod kątem możliwości jej finansowania w ramach Programu, przez IZ.</w:t>
      </w:r>
      <w:r>
        <w:br/>
        <w:t>3.</w:t>
      </w:r>
      <w:r>
        <w:tab/>
        <w:t>Realizowane inwestycje muszą mieć charakter zintegrowany, tj. muszą wpisywać się w cele rozwoju obszaru funkcjonalnego objętego instrumentem i być ukierunkowane na rozwiązywanie wspólnych problemów rozwojowych – oznacza to, że projekt taki musi mieć wpływ na więcej niż 1 gminę w MOF oraz jego realizacja musi być uzasadniona zarówno w części diagnostycznej, jak i w części kierunkowej strategii. Inwestycje te muszą spełniać jeden z następujących warunków: muszą być projektem partnerskim w rozumieniu art. 39 ustawy wdrożeniowej lub deklarowany powinien być wspólny efekt, rezultat lub produkt końcowy projektu, tj. wspólne wykorzystanie stworzonej w jego ramach infrastruktury.</w:t>
      </w:r>
      <w:r>
        <w:br/>
        <w:t>4.</w:t>
      </w:r>
      <w:r>
        <w:tab/>
        <w:t>Wsparcie działań musi być zgodne z zamierzonym sposobem gospodarowania odpadami uwzględnionym w Planie gospodarki odpadami dla województwa lubelskiego, z SRWL2030 i innymi dokumentami strategicznymi oraz z horyzontalnymi politykami Wspólnoty, w tym w zakresie osiągnięcia celów ujętych w Dyrektywie 2008/98/WE i hierarchią postępowania z odpadami.</w:t>
      </w:r>
      <w:r>
        <w:br/>
        <w:t>5.</w:t>
      </w:r>
      <w:r>
        <w:tab/>
        <w:t>Warunkiem wsparcia inwestycji infrastrukturalnych dotyczących gospodarowania odpadami komunalnymi będzie ich ujęcie w planie inwestycyjnym stanowiącym załącznik do zaktualizowanego planu gospodarki odpadami dla województwa lubelskiego, natomiast inwestycji infrastrukturalnych dotyczących gospodarowania odpadami innymi niż komunalne w tym odpadami medycznymi będzie ich ujęcie w zaktualizowanym planie gospodarki odpadami dla województwa lubelskiego.</w:t>
      </w:r>
      <w:r>
        <w:br/>
        <w:t>6.</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1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1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1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1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1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1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(UE)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 (C/2025/8820),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Rozporządzenie Komisji (UE) nr 651/2014 z dnia 17 czerwca 2014 r. uznające niektóre rodzaje pomocy za zgodne z rynkiem wewnętrznym w zastosowaniu art. 107 i 108 Traktatu (Dz. Urz. UE L 187 z 26.06.2014, str. 1, z późn. zm.)</w:t>
      </w:r>
    </w:p>
    <w:p w14:paraId="240F21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1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 Rozporządzenie Ministra Funduszy i Polityki Regionalnej z dnia 7 grudnia 2023 r. w sprawie udzielania pomocy inwestycyjnej na efektywne gospodarowanie zasobami i wspieranie przechodzenia na gospodarkę o obiegu zamkniętym w ramach regionalnych programów na lata 2021–2027 (Dz.U. 2023 poz. 2664)</w:t>
      </w:r>
    </w:p>
    <w:p w14:paraId="240F21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1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1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1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1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1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1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1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1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1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1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1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1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1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Partnerstwa, Zintegrowane Inwestycje Terytorialne (ZIT)</w:t>
      </w:r>
    </w:p>
    <w:p w14:paraId="240F21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1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21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1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gospodarka_o_obiegu_zamkniętym, gospodarka_odpadami, kompostowanie, odpady_komunalne, odpady_niebezpieczne, punkt_selektywnej_zbiórki_odpadów_komunalnych, recykling, selektywna_zbiórka, utylizacja, Zintegrowane_Inwestycje_Terytorialne</w:t>
      </w:r>
    </w:p>
    <w:p w14:paraId="240F21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1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1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1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WLWK-RCO034 - Dodatkowe zdolności w zakresie recyklingu odpadów</w:t>
      </w:r>
    </w:p>
    <w:p w14:paraId="240F21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WLWK-RCO107 - Inwestycje w obiekty do selektywnego zbierania odpadów</w:t>
      </w:r>
    </w:p>
    <w:p w14:paraId="240F21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WLWK-PLRO064 - Liczba doposażonych zakładów zagospodarowania odpadów</w:t>
      </w:r>
    </w:p>
    <w:p w14:paraId="240F21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1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1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WLWK-PLRO063 - Liczba przebudowanych zakładów zagospodarowania odpadów</w:t>
      </w:r>
    </w:p>
    <w:p w14:paraId="240F21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WLWK-PLRO228 - Liczba przeprowadzonych kampanii informacyjno-edukacyjnych w zakresie gospodarki o obiegu zamkniętym </w:t>
      </w:r>
    </w:p>
    <w:p w14:paraId="240F21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WLWK-PLRO180 - Liczba utworzonych Punktów Napraw i Ponownego Użycia</w:t>
      </w:r>
    </w:p>
    <w:p w14:paraId="240F21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WLWK-PLRO181 - Liczba wspartych instalacji termicznego przekształcania odpadów</w:t>
      </w:r>
    </w:p>
    <w:p w14:paraId="240F21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WLWK-PLRO182 - Liczba wspartych inwestycji w zakresie zagospodarowania odpadów w procesach innych niż recykling</w:t>
      </w:r>
    </w:p>
    <w:p w14:paraId="240F21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WLWK-PLRO060 - Liczba wspartych punktów selektywnego zbierania odpadów komunalnych (PSZOK)</w:t>
      </w:r>
    </w:p>
    <w:p w14:paraId="240F21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WLWK-PLRO062 - Liczba wybudowanych zakładów zagospodarowania odpadów</w:t>
      </w:r>
    </w:p>
    <w:p w14:paraId="240F21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1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WLWK-PLRO067 - Masa unieszkodliwionych odpadów niebezpiecznych</w:t>
      </w:r>
    </w:p>
    <w:p w14:paraId="240F21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WLWK-PLRO065 - Masa wycofanych z użytkowania i unieszkodliwionych wyrobów medycznych</w:t>
      </w:r>
    </w:p>
    <w:p w14:paraId="240F21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WLWK-RCO119 - Odpady przygotowane do ponownego użycia</w:t>
      </w:r>
    </w:p>
    <w:p w14:paraId="240F21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1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1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WLWK-PLRR066 - Liczba osób, do których zostały skierowane kampanie informacyjno-edukacyjne w zakresie gospodarki o obiegu zamkniętym </w:t>
      </w:r>
    </w:p>
    <w:p w14:paraId="240F21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WLWK-PLRR019 - Liczba osób objętych selektywnym zbieraniem odpadów komunalnych</w:t>
      </w:r>
    </w:p>
    <w:p w14:paraId="240F21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WLWK-PLRR041 - Masa odpadów zagospodarowana w procesach innych niż recykling</w:t>
      </w:r>
    </w:p>
    <w:p w14:paraId="240F21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WLWK-PLRR040 - Masa przedmiotów przekazanych do Punktów Napraw i Ponownego Użycia</w:t>
      </w:r>
    </w:p>
    <w:p w14:paraId="240F21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WLWK-RCR047 - Odpady poddane recyklingowi</w:t>
      </w:r>
    </w:p>
    <w:p w14:paraId="240F21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WLWK-RCR048 - Odpady wykorzystywane jako surowce</w:t>
      </w:r>
    </w:p>
    <w:p w14:paraId="240F21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WLWK-RCR103 - Odpady zbierane selektywnie</w:t>
      </w:r>
    </w:p>
    <w:p w14:paraId="240F21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PROG-FELCR08 - Masa odpadów medycznych i weterynaryjnych poddanych unieszkodliwieniu</w:t>
      </w:r>
    </w:p>
    <w:p w14:paraId="240F21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1D1"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6" w:name="_Toc241668190"/>
      <w:r>
        <w:rPr>
          <w:rFonts w:ascii="Calibri" w:hAnsi="Calibri" w:cs="Calibri"/>
          <w:sz w:val="32"/>
        </w:rPr>
        <w:t>Działanie FELU.03.08 GOZ w przedsiębiorstwach</w:t>
      </w:r>
      <w:bookmarkEnd w:id="26"/>
    </w:p>
    <w:p w14:paraId="240F21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1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 - Wspieranie transformacji w kierunku gospodarki o obiegu zamkniętym i gospodarki zasobooszczędnej</w:t>
      </w:r>
    </w:p>
    <w:p w14:paraId="240F21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1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21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1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18 797 767,00</w:t>
      </w:r>
    </w:p>
    <w:p w14:paraId="240F21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1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17 857 879,00</w:t>
      </w:r>
    </w:p>
    <w:p w14:paraId="240F21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1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071 - Promowanie wykorzystania materiałów pochodzących z recyklingu jako surowców, 072 - Wykorzystanie materiałów pochodzących z recyklingu jako surowców zgodnie z kryteriami efektywności, 075 - Wsparcie ekologicznych procesów produkcyjnych oraz efektywnego wykorzystywania zasobów w MŚP</w:t>
      </w:r>
    </w:p>
    <w:p w14:paraId="240F21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1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Projekty mające na celu zminimalizowanie zużycia zasobów, ilości wytwarzanych odpadów produkcyjnych, emisji zanieczyszczeń i strat energii służące osiągnięciu założeń GOZ.</w:t>
      </w:r>
      <w:r>
        <w:br/>
        <w:t>2.</w:t>
      </w:r>
      <w:r>
        <w:tab/>
        <w:t>Projekty polegające na zamykaniu obiegu odpadów organicznych, w tym przetwarzanie/ wykorzystanie odpadów organicznych np. biomasa i bioprodukty.</w:t>
      </w:r>
      <w:r>
        <w:br/>
        <w:t>W ramach 1 typu projektu wsparciem objęte zostaną m. in. działania prowadzące do zmniejszenia zużycia zasobów wykorzystywanych w procesach produkcyjnych, a tym samym ograniczenie wytwarzania odpadów poprodukcyjnych.</w:t>
      </w:r>
      <w:r>
        <w:br/>
        <w:t>Kluczowe warunki realizacji projektów:</w:t>
      </w:r>
      <w:r>
        <w:br/>
        <w:t>1.</w:t>
      </w:r>
      <w:r>
        <w:tab/>
        <w:t>Szczegółowe zasady kwalifikowalności wydatków określone zostaną w Regulaminie wyboru projektów.</w:t>
      </w:r>
      <w:r>
        <w:br/>
        <w:t>2.</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3.</w:t>
      </w:r>
      <w:r>
        <w:tab/>
        <w:t>Wsparcie dla inwestycji przedsiębiorstw w GOZ nie może być skierowane na inwestycje, które charakteryzują się dużym potencjałem rynkowym, wysoką efektywnością kosztową i stosunkowo szybkim okresem zwrotu.</w:t>
      </w:r>
      <w:r>
        <w:br/>
        <w:t>4.</w:t>
      </w:r>
      <w:r>
        <w:tab/>
        <w:t>W zakresie GOZ preferowane będą inwestycje MŚP.</w:t>
      </w:r>
      <w:r>
        <w:br/>
        <w:t>5.</w:t>
      </w:r>
      <w:r>
        <w:tab/>
        <w:t>W ramach Działania zastosowane będą preferencje dla projektów zawierających elementy współpracy ponadregionalnej, transgranicznej lub ponadnarodowej.</w:t>
      </w:r>
      <w:r>
        <w:br/>
        <w:t>6.</w:t>
      </w:r>
      <w:r>
        <w:tab/>
        <w:t>Wsparcie w ramach Działania jest zgodne z Wytycznymi dotyczącymi realizacji zasad równościowych w ramach funduszy unijnych na lata 2021-2027.</w:t>
      </w:r>
    </w:p>
    <w:p w14:paraId="240F21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1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1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1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1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1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1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1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 Rozporządzenie Ministra Funduszy i Polityki Regionalnej z dnia 7 grudnia 2023 r. w sprawie udzielania pomocy inwestycyjnej na efektywne gospodarowanie zasobami i wspieranie przechodzenia na gospodarkę o obiegu zamkniętym w ramach regionalnych programów na lata 2021–2027 (Dz.U. 2023 poz. 2664)</w:t>
      </w:r>
    </w:p>
    <w:p w14:paraId="240F21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1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1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1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1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1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1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1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objętej pomocą publiczną: zgodnie z programami pomocy publicznej; Projekty w części objętej pomocą de minimis: zgodnie z Regulaminem wyboru projektów, jednakże nie mniej niż 5%</w:t>
      </w:r>
    </w:p>
    <w:p w14:paraId="240F21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Maksymalna wartość wydatków kwalifikowalnych w projekcie</w:t>
      </w:r>
    </w:p>
    <w:p w14:paraId="240F21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8 000 000,00</w:t>
      </w:r>
    </w:p>
    <w:p w14:paraId="240F21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1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1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1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1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1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Przedsiębiorstwa</w:t>
      </w:r>
    </w:p>
    <w:p w14:paraId="240F21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1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regionu korzystający z rezultatów projektu, osoby fizyczne</w:t>
      </w:r>
    </w:p>
    <w:p w14:paraId="240F21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1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biomasa, cykl_życia_produktu, gospodarka_cyrkularna, gospodarka_o_obiegu_zamkniętym, gospodarka_odpadami, minimalizacja_odpadów, obieg_zamknięty, oszczędność_surowców, oszczędność_zasobów, recykling</w:t>
      </w:r>
    </w:p>
    <w:p w14:paraId="240F21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1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1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1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1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1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WLWK-RCO034 - Dodatkowe zdolności w zakresie recyklingu odpadów</w:t>
      </w:r>
    </w:p>
    <w:p w14:paraId="240F22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2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WLWK-PLRO006 - Liczba przedsiębiorstw otrzymujących wsparcie w zakresie transformacji w kierunku zrównoważonego rozwoju</w:t>
      </w:r>
    </w:p>
    <w:p w14:paraId="240F22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22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WLWK-PLRO179 - Liczba wspartych instalacji w zakresie ograniczania ilości odpadów powstających w procesach produkcyjnych</w:t>
      </w:r>
    </w:p>
    <w:p w14:paraId="240F22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WLWK-PLRO182 - Liczba wspartych inwestycji w zakresie zagospodarowania odpadów w procesach innych niż recykling</w:t>
      </w:r>
    </w:p>
    <w:p w14:paraId="240F22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22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22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22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WLWK-RCO119 - Odpady przygotowane do ponownego użycia</w:t>
      </w:r>
    </w:p>
    <w:p w14:paraId="240F22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240F22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2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WLWK-PLRR020 - Ilość zredukowanych odpadów będących pozostałością w procesie produkcyjnym przedsiębiorstwa</w:t>
      </w:r>
    </w:p>
    <w:p w14:paraId="240F22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WLWK-PLRR051 - Liczba przedsięwzięć proekologicznych</w:t>
      </w:r>
    </w:p>
    <w:p w14:paraId="240F22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WLWK-PLRR041 - Masa odpadów zagospodarowana w procesach innych niż recykling</w:t>
      </w:r>
    </w:p>
    <w:p w14:paraId="240F22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WLWK-RCR047 - Odpady poddane recyklingowi</w:t>
      </w:r>
    </w:p>
    <w:p w14:paraId="240F22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WLWK-RCR048 - Odpady wykorzystywane jako surowce</w:t>
      </w:r>
    </w:p>
    <w:p w14:paraId="240F22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40F22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212"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7" w:name="_Toc241668191"/>
      <w:r>
        <w:rPr>
          <w:rFonts w:ascii="Calibri" w:hAnsi="Calibri" w:cs="Calibri"/>
          <w:sz w:val="32"/>
        </w:rPr>
        <w:t>Działanie FELU.03.09 Ochrona bioróżnorodności na obszarach objętych formami ochrony przyrody</w:t>
      </w:r>
      <w:bookmarkEnd w:id="27"/>
    </w:p>
    <w:p w14:paraId="240F22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2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 - Wzmacnianie ochrony i zachowania przyrody, różnorodności biologicznej oraz zielonej infrastruktury, w tym na obszarach miejskich, oraz ograniczanie wszelkich rodzajów zanieczyszczenia</w:t>
      </w:r>
    </w:p>
    <w:p w14:paraId="240F22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2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9 758 064,00</w:t>
      </w:r>
    </w:p>
    <w:p w14:paraId="240F22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2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9 270 161,00</w:t>
      </w:r>
    </w:p>
    <w:p w14:paraId="240F22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2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074 - Rewaloryzacja obszarów przemysłowych i rekultywacja skażonych gruntów zgodnie z kryteriami efektywności, 078 - Ochrona, regeneracja i zrównoważone wykorzystanie obszarów Natura 2000, 079 - Ochrona przyrody i różnorodności biologicznej, dziedzictwo naturalne i zasoby naturalne, zielona i niebieska infrastruktura</w:t>
      </w:r>
    </w:p>
    <w:p w14:paraId="240F22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2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Działania ochronne mające na celu zachowanie lub przywrócenie właściwego stanu siedlisk przyrodniczych i gatunków roślin, grzybów, zwierząt.</w:t>
      </w:r>
      <w:r>
        <w:br/>
        <w:t>2.</w:t>
      </w:r>
      <w:r>
        <w:tab/>
        <w:t>Monitoring siedlisk przyrodniczych i gatunków roślin, grzybów, zwierząt jako element projektu ochrony bioróżnorodności.</w:t>
      </w:r>
      <w:r>
        <w:br/>
        <w:t>3.</w:t>
      </w:r>
      <w:r>
        <w:tab/>
        <w:t>Zwalczanie inwazyjnych gatunków flory i fauny, jako element projektu ochrony bioróżnorodności.</w:t>
      </w:r>
      <w:r>
        <w:br/>
        <w:t>4.</w:t>
      </w:r>
      <w:r>
        <w:tab/>
        <w:t>Rozbudowa i doposażenie ośrodków rehabilitacji dzikich zwierząt.</w:t>
      </w:r>
      <w:r>
        <w:br/>
        <w:t>5.</w:t>
      </w:r>
      <w:r>
        <w:tab/>
        <w:t>Przebudowa/remont ośrodków edukacji ekologicznej, w tym doposażenie zaplecza dydaktycznego.</w:t>
      </w:r>
      <w:r>
        <w:br/>
        <w:t>6.</w:t>
      </w:r>
      <w:r>
        <w:tab/>
        <w:t>Budowa, rozwój ośrodków oraz centrów ochrony różnorodności biologicznej w oparciu o gatunki rodzime na obszarach miejskich i pozamiejskich, np. banków genowych, ogrodów botanicznych oraz parków miejskich służących ochronie i zwiększaniu różnorodności biologicznej.</w:t>
      </w:r>
      <w:r>
        <w:br/>
        <w:t>7.</w:t>
      </w:r>
      <w:r>
        <w:tab/>
        <w:t>Rozwój infrastruktury związanej z właściwym ukierunkowaniem ruchu turystycznego na obszarach cennych przyrodniczo służącej ograniczeniu antropopresji i degradacji środowiska.</w:t>
      </w:r>
      <w:r>
        <w:br/>
        <w:t>8.</w:t>
      </w:r>
      <w:r>
        <w:tab/>
        <w:t>Opracowanie / aktualizacja dokumentów planistycznych dla form ochrony przyrody.</w:t>
      </w:r>
      <w:r>
        <w:br/>
        <w:t>9.</w:t>
      </w:r>
      <w:r>
        <w:tab/>
        <w:t>Opracowanie inwentaryzacji przyrodniczej obszaru realizacji projektu ochrony bioróżnorodności jako element projektu.</w:t>
      </w:r>
      <w:r>
        <w:br/>
        <w:t>10.</w:t>
      </w:r>
      <w:r>
        <w:tab/>
        <w:t>Remediacja terenów zanieczyszczonych oraz rekultywacja terenów zdegradowanych działalnością gospodarczą.</w:t>
      </w:r>
      <w:r>
        <w:br/>
        <w:t>Ad.1</w:t>
      </w:r>
      <w:r>
        <w:br/>
        <w:t>Wsparcie obejmie wdrażanie zapisów dokumentów planistycznych (plany ochrony/plany zadań ochronnych) dotyczących obszarów Natura 2000, parków narodowych, krajobrazowych i rezerwatów przyrody w części nie pokrywającej się z obszarami Natura 2000 oraz na obszarach Natura 2000 pokrywających się z parkiem krajobrazowym lub rezerwatem przyrody. W przypadku pokrywania się wymienionych form ochrony przyrody wymagane będzie ograniczenie obszaru realizacji projektu do jednego województwa oraz realizacja projektu tylko za zgodą organu nadzorującego obszar chroniony.</w:t>
      </w:r>
      <w:r>
        <w:br/>
        <w:t>Ad.6, 7</w:t>
      </w:r>
      <w:r>
        <w:br/>
        <w:t>W projektach obejmujących ingerencje na terenach zieleni miejskiej i pozamiejskiej, w tym w parkach miejskich będzie wymagane udokumentowanie wartości przyrodniczej terenu, poprzedzonej inwentaryzacją przyrodniczą i zastosowaniem opartych na gatunkach rodzimych działań utrzymujących i zwiększających bioróżnorodność.</w:t>
      </w:r>
      <w:r>
        <w:br/>
        <w:t>Ad. 7</w:t>
      </w:r>
      <w:r>
        <w:br/>
        <w:t>Wsparcie infrastruktury turystycznej na obszarach chronionych będzie ograniczone do inwestycji, które będą służyły wyłącznie ochronie środowiska naturalnego, poprzez skanalizowanie ruchu turystycznego oraz zapewnią ograniczenie degradacji środowiska przyrodniczego w miejscach przemieszczania się i wypoczynku osób zwiedzających. Inwestycje, które nie przyczyniają się do ochrony, odnowy oraz zrównoważonego użytkowania obszarów chronionych, takie jak parkingi, drogi dojazdowe, nie będą kwalifikowane.</w:t>
      </w:r>
      <w:r>
        <w:br/>
        <w:t>Ad.8</w:t>
      </w:r>
      <w:r>
        <w:br/>
        <w:t xml:space="preserve">Priorytetem będzie aktualizacja planów ochrony parków krajobrazowych, które dotychczas uwzględniały zakres zadań ochronnych dla fragmentów obszarów Natura 2000 </w:t>
      </w:r>
      <w:r>
        <w:br/>
        <w:t>oraz wdrożenie działań zawartych w tych planach.</w:t>
      </w:r>
      <w:r>
        <w:br/>
        <w:t>Ad.10</w:t>
      </w:r>
      <w:r>
        <w:br/>
        <w:t>-</w:t>
      </w:r>
      <w:r>
        <w:tab/>
        <w:t>Wsparcie w zakresie remediacji terenów zanieczyszczonych oraz rekultywacji terenów zdegradowanych działalnością gospodarczą może być udzielone w przypadkach, gdy podmiot odpowiedzialny za degradację terenu czy też nielegalne składowanie odpadów nie może być zidentyfikowany lub nie może zostać obarczony odpowiedzialnością za sfinansowanie remediacji lub rekultywacji zgodnie z zasadą „zanieczyszczający płaci” oraz Dyrektywą 2004/35.</w:t>
      </w:r>
      <w:r>
        <w:br/>
        <w:t>-</w:t>
      </w:r>
      <w:r>
        <w:tab/>
        <w:t>Rekultywacja powinna prowadzić w pierwszej kolejności do przeznaczenia terenu na cele przyrodnicze, do rozwoju nowych terenów zielonych i zielonej infrastruktury, a także terenów spełniających funkcje publiczne oraz społeczne.</w:t>
      </w:r>
      <w:r>
        <w:br/>
        <w:t>Kluczowe warunki realizacji projektów:</w:t>
      </w:r>
      <w:r>
        <w:br/>
        <w:t>1.</w:t>
      </w:r>
      <w:r>
        <w:tab/>
        <w:t>Szczegółowe zasady kwalifikowalności wydatków określone zostaną w Regulaminie wyboru projektów.</w:t>
      </w:r>
      <w:r>
        <w:br/>
        <w:t>2.</w:t>
      </w:r>
      <w:r>
        <w:tab/>
        <w:t>Działania niezwiązane bezpośrednio z ochroną siedlisk i gatunków chronionych, takie jak: ośrodki, centra ochrony bioróżnorodności, banki genowe, ogrody botaniczne oraz infrastruktura związana z kanalizowaniem ruchu turystycznego mogą stanowić maksymalnie 30% kosztów kwalifikowalnych projektu.</w:t>
      </w:r>
      <w:r>
        <w:br/>
        <w:t>3.</w:t>
      </w:r>
      <w:r>
        <w:tab/>
        <w:t>Dofinansowaniu będą podlegać projekty zgodne z Programem ochrony środowiska województwa lubelskiego 2030, zmierzające do poprawy stanu środowiska, redukujące negatywne oddziaływanie działalności człowieka na środowisko naturalne oraz sprzyjające kształtowaniu postaw proekologicznych.</w:t>
      </w:r>
      <w:r>
        <w:br/>
        <w:t>4.</w:t>
      </w:r>
      <w:r>
        <w:tab/>
        <w:t>Projekty realizowane na obszarach chronionych w celu uzyskania wsparcia będą musiały wykazać zgodność zaplanowanych do realizacji zadań z planami ochrony zgodnie z ustawą o ochronie przyrody oraz z aktami prawa miejscowego, dotyczącymi zakresu działań dopuszczalnych na obszarze objętym właściwą formą ochrony przyrody, w tym działaniami zidentyfikowanymi w Priorytetowych Ramach Działania (PAF) na lata 2021-27 dla obszarów Natura 2000.</w:t>
      </w:r>
      <w:r>
        <w:br/>
        <w:t>5.</w:t>
      </w:r>
      <w:r>
        <w:tab/>
        <w:t>Preferowane będą projekty wynikające ze strategii terytorialnych opracowanych przez partnerstwa JST w celu wdrażania Innego Instrumentu Terytorialnego (strategii rozwoju ponadlokalnego lub strategii IIT).</w:t>
      </w:r>
      <w:r>
        <w:br/>
        <w:t>6.</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7.</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p>
    <w:p w14:paraId="240F22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2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2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2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2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2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2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2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 Rozporządzenie Ministra Funduszy i Polityki Regionalnej z dnia 7 listopada 2023 r. w sprawie udzielania pomocy inwestycyjnej na remediację szkód wyrządzonych środowisku, rekultywację zdegradowanych siedlisk przyrodniczych i ekosystemów, ochronę lub odbudowę bioróżnorodności lub ekosystemów oraz wdrażanie rozwiązań opartych na zasobach przyrody w celu łagodzenia zmiany klimatu i przystosowywania się do niej w ramach regionalnych programów na lata 2021–2027 (Dz.U. 2023 poz. 2451)</w:t>
      </w:r>
    </w:p>
    <w:p w14:paraId="240F22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2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2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2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2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2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2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2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2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2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2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2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2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2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Służby publiczne</w:t>
      </w:r>
    </w:p>
    <w:p w14:paraId="240F22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2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obszarów chronionych, mieszkańcy regionu korzystający z rezultatów projektu, mieszkańcy województwa</w:t>
      </w:r>
    </w:p>
    <w:p w14:paraId="240F22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2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bioróżnorodność, dokumenty_planistyczne, gatunki_inwazyjne, Natura_2000, ochrona_czynna, ochrona_krajobrazu, ochrona_siedlisk, park_krajobrazowy, rezerwat_przyrody, tereny_zdegradowane</w:t>
      </w:r>
    </w:p>
    <w:p w14:paraId="240F22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2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2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2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WLWK-PLRO136 - Długość odnowionych szlaków turystycznych</w:t>
      </w:r>
    </w:p>
    <w:p w14:paraId="240F22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WLWK-PLRO137 - Długość utworzonych szlaków turystycznych</w:t>
      </w:r>
    </w:p>
    <w:p w14:paraId="240F22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2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WLWK-PLRO194 - Liczba obiektów infrastruktury na cele ukierunkowania ruchu turystycznego albo edukacji przyrodniczej</w:t>
      </w:r>
    </w:p>
    <w:p w14:paraId="240F22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WLWK-PLRO074 - Liczba opracowanych dokumentów planistycznych z zakresu ochrony przyrody</w:t>
      </w:r>
    </w:p>
    <w:p w14:paraId="240F22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2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240F22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WLWK-PLRO071 - Liczba wspartych form ochrony przyrody</w:t>
      </w:r>
    </w:p>
    <w:p w14:paraId="240F22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WLWK-PLRO069 - Powierzchnia obszarów chronionych i cennych przyrodniczo innych niż Natura 2000 objętych działaniami ochronnymi i odtwarzającymi</w:t>
      </w:r>
    </w:p>
    <w:p w14:paraId="240F22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WLWK-RCO037 - Powierzchnia obszarów Natura 2000 objętych środkami ochrony i odtworzenia</w:t>
      </w:r>
    </w:p>
    <w:p w14:paraId="240F22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WLWK-PLRO072 - Powierzchnia parków krajobrazowych objętych wsparciem w ramach realizacji zadań objętych planami ochrony</w:t>
      </w:r>
    </w:p>
    <w:p w14:paraId="240F22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WLWK-PLRO070 - Powierzchnia siedlisk wspieranych w celu uzyskania lepszego statusu ochrony</w:t>
      </w:r>
    </w:p>
    <w:p w14:paraId="240F22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WLWK-RCO038 - Powierzchnia wspieranych zrekultywowanych gruntów</w:t>
      </w:r>
    </w:p>
    <w:p w14:paraId="240F22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WLWK-RCO036 - Zielona infrastruktura objęta wsparciem do celów innych niż przystosowanie się do zmian klimatu</w:t>
      </w:r>
    </w:p>
    <w:p w14:paraId="240F22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PROG-FELCO01 - Liczba wspartych obiektów związanych z ochroną przyrody</w:t>
      </w:r>
    </w:p>
    <w:p w14:paraId="240F22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2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WLWK-RCR052 - Grunty zrekultywowane wykorzystywane jako tereny zielone, pod budowę lokali socjalnych lub pod działalność gospodarczą lub inną</w:t>
      </w:r>
    </w:p>
    <w:p w14:paraId="240F22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WLWK-PLRR042 - Liczba gatunków zagrożonych, dla których wykonano działania ochronne</w:t>
      </w:r>
    </w:p>
    <w:p w14:paraId="240F22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WLWK-PLRR044 - Liczba inwazyjnych gatunków obcych, wobec których podjęto działania ograniczające ich negatywny wpływ</w:t>
      </w:r>
    </w:p>
    <w:p w14:paraId="240F22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WLWK-PLRR045 - Liczba przedsięwzięć z zakresu ochrony przyrody wspartych w fazie przygotowawczej</w:t>
      </w:r>
    </w:p>
    <w:p w14:paraId="240F22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WLWK-RCR095 - Ludność mająca dostęp do nowej lub udoskonalonej zielonej infrastruktury</w:t>
      </w:r>
    </w:p>
    <w:p w14:paraId="240F22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WLWK-RCR050 - Ludność odnosząca korzyści ze środków na rzecz jakości powietrza</w:t>
      </w:r>
    </w:p>
    <w:p w14:paraId="240F22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WLWK-PLRR043 - Powierzchnia obszarów chronionych, dla których opracowano dokumenty planistyczne</w:t>
      </w:r>
    </w:p>
    <w:p w14:paraId="240F22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252"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8" w:name="_Toc241668192"/>
      <w:r>
        <w:rPr>
          <w:rFonts w:ascii="Calibri" w:hAnsi="Calibri" w:cs="Calibri"/>
          <w:sz w:val="32"/>
        </w:rPr>
        <w:t>Działanie FELU.03.10 Ochrona bioróżnorodności na obszarach poza formami ochrony przyrody</w:t>
      </w:r>
      <w:bookmarkEnd w:id="28"/>
    </w:p>
    <w:p w14:paraId="240F22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2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 - Wzmacnianie ochrony i zachowania przyrody, różnorodności biologicznej oraz zielonej infrastruktury, w tym na obszarach miejskich, oraz ograniczanie wszelkich rodzajów zanieczyszczenia</w:t>
      </w:r>
    </w:p>
    <w:p w14:paraId="240F22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2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4 565 377,00</w:t>
      </w:r>
    </w:p>
    <w:p w14:paraId="240F22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2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4 337 108,00</w:t>
      </w:r>
    </w:p>
    <w:p w14:paraId="240F22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2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074 - Rewaloryzacja obszarów przemysłowych i rekultywacja skażonych gruntów zgodnie z kryteriami efektywności, 079 - Ochrona przyrody i różnorodności biologicznej, dziedzictwo naturalne i zasoby naturalne, zielona i niebieska infrastruktura</w:t>
      </w:r>
    </w:p>
    <w:p w14:paraId="240F22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2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Działania ochronne mające na celu zachowanie lub przywrócenie właściwego stanu siedlisk przyrodniczych i gatunków roślin, grzybów, zwierząt.</w:t>
      </w:r>
      <w:r>
        <w:br/>
        <w:t>2.</w:t>
      </w:r>
      <w:r>
        <w:tab/>
        <w:t>Monitoring siedlisk przyrodniczych i gatunków roślin, grzybów, zwierząt jako element projektu ochrony bioróżnorodności.</w:t>
      </w:r>
      <w:r>
        <w:br/>
        <w:t>3.</w:t>
      </w:r>
      <w:r>
        <w:tab/>
        <w:t>Zwalczanie inwazyjnych gatunków flory i fauny, jako element projektu ochrony bioróżnorodności.</w:t>
      </w:r>
      <w:r>
        <w:br/>
        <w:t>4.</w:t>
      </w:r>
      <w:r>
        <w:tab/>
        <w:t>Rozbudowa i doposażenie ośrodków rehabilitacji dzikich zwierząt.</w:t>
      </w:r>
      <w:r>
        <w:br/>
        <w:t>5.</w:t>
      </w:r>
      <w:r>
        <w:tab/>
        <w:t>Przebudowa/remont ośrodków edukacji ekologicznej, w tym doposażenie zaplecza dydaktycznego.</w:t>
      </w:r>
      <w:r>
        <w:br/>
        <w:t>6.</w:t>
      </w:r>
      <w:r>
        <w:tab/>
        <w:t>Budowa, rozwój ośrodków oraz centrów ochrony różnorodności biologicznej w oparciu o gatunki rodzime na obszarach miejskich i pozamiejskich, np. banków genowych, ogrodów botanicznych oraz parków miejskich służących ochronie i zwiększaniu różnorodności biologicznej.</w:t>
      </w:r>
      <w:r>
        <w:br/>
        <w:t>7.</w:t>
      </w:r>
      <w:r>
        <w:tab/>
        <w:t>Rozwój infrastruktury związanej z właściwym ukierunkowaniem ruchu turystycznego na obszarach cennych przyrodniczo służącej ograniczeniu antropopresji i degradacji środowiska.</w:t>
      </w:r>
      <w:r>
        <w:br/>
        <w:t>8.</w:t>
      </w:r>
      <w:r>
        <w:tab/>
        <w:t>Opracowanie inwentaryzacji przyrodniczej obszaru realizacji projektu ochrony bioróżnorodności jako element projektu.</w:t>
      </w:r>
      <w:r>
        <w:br/>
        <w:t>9.</w:t>
      </w:r>
      <w:r>
        <w:tab/>
        <w:t>Remediacja terenów zanieczyszczonych oraz rekultywacja terenów zdegradowanych działalnością gospodarczą.</w:t>
      </w:r>
      <w:r>
        <w:br/>
        <w:t>Ad.6, 7</w:t>
      </w:r>
      <w:r>
        <w:br/>
        <w:t>W projektach obejmujących ingerencje na terenach zieleni miejskiej i pozamiejskiej, w tym w parkach miejskich będzie wymagane udokumentowanie wartości przyrodniczej terenu, poprzedzonej inwentaryzacją przyrodniczą i zastosowaniem opartych na gatunkach rodzimych działań utrzymujących i zwiększających bioróżnorodność.</w:t>
      </w:r>
      <w:r>
        <w:br/>
        <w:t>Ad. 7</w:t>
      </w:r>
      <w:r>
        <w:br/>
        <w:t>Wsparcie infrastruktury turystycznej na obszarach cennych przyrodniczo będzie ograniczone do inwestycji, które będą służyły wyłącznie ochronie środowiska naturalnego, poprzez skanalizowanie ruchu turystycznego oraz zapewnią ograniczenie degradacji środowiska przyrodniczego w miejscach przemieszczania się i wypoczynku osób zwiedzających. Inwestycje, które nie przyczyniają się do ochrony, odnowy oraz zrównoważonego użytkowania obszarów chronionych, takie jak parkingi, drogi dojazdowe, nie będą kwalifikowane.</w:t>
      </w:r>
      <w:r>
        <w:br/>
        <w:t>Ad.9</w:t>
      </w:r>
      <w:r>
        <w:br/>
        <w:t>-</w:t>
      </w:r>
      <w:r>
        <w:tab/>
        <w:t>Wsparcie w zakresie remediacji terenów zanieczyszczonych oraz rekultywacji terenów zdegradowanych działalnością gospodarczą może być udzielone w przypadkach, gdy podmiot odpowiedzialny za degradację terenu czy też nielegalne składowanie odpadów nie może być zidentyfikowany lub nie może zostać obarczony odpowiedzialnością za sfinansowanie remediacji lub rekultywacji zgodnie z zasadą „zanieczyszczający płaci” oraz Dyrektywą 2004/35.</w:t>
      </w:r>
      <w:r>
        <w:br/>
        <w:t>-</w:t>
      </w:r>
      <w:r>
        <w:tab/>
        <w:t>Rekultywacja powinna prowadzić w pierwszej kolejności do przeznaczenia terenu na cele przyrodnicze, do rozwoju nowych terenów zielonych i zielonej infrastruktury, a także terenów spełniających funkcje publiczne oraz społeczne.</w:t>
      </w:r>
      <w:r>
        <w:br/>
        <w:t>Kluczowe warunki realizacji projektów:</w:t>
      </w:r>
      <w:r>
        <w:br/>
        <w:t>1.</w:t>
      </w:r>
      <w:r>
        <w:tab/>
        <w:t>Szczegółowe zasady kwalifikowalności wydatków określone zostaną w Regulaminie wyboru projektów.</w:t>
      </w:r>
      <w:r>
        <w:br/>
        <w:t>2.</w:t>
      </w:r>
      <w:r>
        <w:tab/>
        <w:t>Działania niezwiązane bezpośrednio z ochroną siedlisk i gatunków chronionych, takie jak: ośrodki, centra ochrony bioróżnorodności, banki genowe, ogrody botaniczne oraz infrastruktura związana z kanalizowaniem ruchu turystycznego mogą stanowić maksymalnie 30% kosztów kwalifikowalnych projektu.</w:t>
      </w:r>
      <w:r>
        <w:br/>
        <w:t>3. Dofinansowaniu będą podlegać projekty zgodne z Programem ochrony środowiska województwa lubelskiego 2030, zmierzające do poprawy stanu środowiska, redukujące negatywne oddziaływanie działalności człowieka na środowisko naturalne oraz sprzyjające kształtowaniu postaw proekologicznych.</w:t>
      </w:r>
      <w:r>
        <w:br/>
        <w:t>4.</w:t>
      </w:r>
      <w:r>
        <w:tab/>
        <w:t>Wsparcie obejmie projekty realizowane na obszarach cennych przyrodniczo oraz parki miejskie, których wartość przyrodnicza została udokumentowana w inwentaryzacji przyrodniczej. Dofinansowanie obejmie działania utrzymujące i zwiększające bioróżnorodność oparte na gatunkach rodzimych.</w:t>
      </w:r>
      <w:r>
        <w:br/>
        <w:t>5.</w:t>
      </w:r>
      <w:r>
        <w:tab/>
        <w:t>Preferowane będą projekty wynikające ze strategii terytorialnych opracowanych przez partnerstwa JST w celu wdrażania Innego Instrumentu Terytorialnego (strategii rozwoju ponadlokalnego lub strategii IIT).</w:t>
      </w:r>
      <w:r>
        <w:br/>
        <w:t>6.</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2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2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2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2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2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2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2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2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 Rozporządzenie Ministra Funduszy i Polityki Regionalnej z dnia 7 listopada 2023 r. w sprawie udzielania pomocy inwestycyjnej na remediację szkód wyrządzonych środowisku, rekultywację zdegradowanych siedlisk przyrodniczych i ekosystemów, ochronę lub odbudowę bioróżnorodności lub ekosystemów oraz wdrażanie rozwiązań opartych na zasobach przyrody w celu łagodzenia zmiany klimatu i przystosowywania się do niej w ramach regionalnych programów na lata 2021–2027 (Dz.U. 2023 poz. 2451)</w:t>
      </w:r>
    </w:p>
    <w:p w14:paraId="240F22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2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2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2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2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2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2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2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2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2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2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2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2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2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Służby publiczne</w:t>
      </w:r>
    </w:p>
    <w:p w14:paraId="240F22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2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regionu korzystający z rezultatów projektu, mieszkańcy województwa</w:t>
      </w:r>
    </w:p>
    <w:p w14:paraId="240F22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2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bioróżnorodność, gatunki_inwazyjne, ochrona_czynna, ochrona_krajobrazu, ochrona_siedlisk, odtwarzanie_mokradeł, odtwarzanie_siedlisk, tereny_zdegradowane, usuwanie_zanieczyszczeń, zielona_infrastruktura</w:t>
      </w:r>
    </w:p>
    <w:p w14:paraId="240F22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2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2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2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WLWK-PLRO136 - Długość odnowionych szlaków turystycznych</w:t>
      </w:r>
    </w:p>
    <w:p w14:paraId="240F22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WLWK-PLRO137 - Długość utworzonych szlaków turystycznych</w:t>
      </w:r>
    </w:p>
    <w:p w14:paraId="240F22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2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WLWK-PLRO194 - Liczba obiektów infrastruktury na cele ukierunkowania ruchu turystycznego albo edukacji przyrodniczej</w:t>
      </w:r>
    </w:p>
    <w:p w14:paraId="240F22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2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240F22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WLWK-PLRO071 - Liczba wspartych form ochrony przyrody</w:t>
      </w:r>
    </w:p>
    <w:p w14:paraId="240F22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WLWK-PLRO069 - Powierzchnia obszarów chronionych i cennych przyrodniczo innych niż Natura 2000 objętych działaniami ochronnymi i odtwarzającymi</w:t>
      </w:r>
    </w:p>
    <w:p w14:paraId="240F22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WLWK-PLRO070 - Powierzchnia siedlisk wspieranych w celu uzyskania lepszego statusu ochrony</w:t>
      </w:r>
    </w:p>
    <w:p w14:paraId="240F22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WLWK-RCO038 - Powierzchnia wspieranych zrekultywowanych gruntów</w:t>
      </w:r>
    </w:p>
    <w:p w14:paraId="240F22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WLWK-RCO036 - Zielona infrastruktura objęta wsparciem do celów innych niż przystosowanie się do zmian klimatu</w:t>
      </w:r>
    </w:p>
    <w:p w14:paraId="240F22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PROG-FELCO01 - Liczba wspartych obiektów związanych z ochroną przyrody</w:t>
      </w:r>
    </w:p>
    <w:p w14:paraId="240F22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2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WLWK-RCR052 - Grunty zrekultywowane wykorzystywane jako tereny zielone, pod budowę lokali socjalnych lub pod działalność gospodarczą lub inną</w:t>
      </w:r>
    </w:p>
    <w:p w14:paraId="240F22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WLWK-PLRR042 - Liczba gatunków zagrożonych, dla których wykonano działania ochronne</w:t>
      </w:r>
    </w:p>
    <w:p w14:paraId="240F22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WLWK-PLRR044 - Liczba inwazyjnych gatunków obcych, wobec których podjęto działania ograniczające ich negatywny wpływ</w:t>
      </w:r>
    </w:p>
    <w:p w14:paraId="240F22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WLWK-PLRR045 - Liczba przedsięwzięć z zakresu ochrony przyrody wspartych w fazie przygotowawczej</w:t>
      </w:r>
    </w:p>
    <w:p w14:paraId="240F22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WLWK-RCR095 - Ludność mająca dostęp do nowej lub udoskonalonej zielonej infrastruktury</w:t>
      </w:r>
    </w:p>
    <w:p w14:paraId="240F22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WLWK-RCR050 - Ludność odnosząca korzyści ze środków na rzecz jakości powietrza</w:t>
      </w:r>
    </w:p>
    <w:p w14:paraId="240F22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28E"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9" w:name="_Toc241668193"/>
      <w:r>
        <w:rPr>
          <w:rFonts w:ascii="Calibri" w:hAnsi="Calibri" w:cs="Calibri"/>
          <w:sz w:val="32"/>
        </w:rPr>
        <w:t>Działanie FELU.03.11 Ochrona bioróżnorodności w ramach Zintegrowanych Inwestycji Terytorialnych Miejskich Obszarów Funkcjonalnych</w:t>
      </w:r>
      <w:bookmarkEnd w:id="29"/>
    </w:p>
    <w:p w14:paraId="240F22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2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 - Wzmacnianie ochrony i zachowania przyrody, różnorodności biologicznej oraz zielonej infrastruktury, w tym na obszarach miejskich, oraz ograniczanie wszelkich rodzajów zanieczyszczenia</w:t>
      </w:r>
    </w:p>
    <w:p w14:paraId="240F22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2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4 981 632,00</w:t>
      </w:r>
    </w:p>
    <w:p w14:paraId="240F22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2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4 732 550,00</w:t>
      </w:r>
    </w:p>
    <w:p w14:paraId="240F22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2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074 - Rewaloryzacja obszarów przemysłowych i rekultywacja skażonych gruntów zgodnie z kryteriami efektywności, 078 - Ochrona, regeneracja i zrównoważone wykorzystanie obszarów Natura 2000, 079 - Ochrona przyrody i różnorodności biologicznej, dziedzictwo naturalne i zasoby naturalne, zielona i niebieska infrastruktura</w:t>
      </w:r>
    </w:p>
    <w:p w14:paraId="240F22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2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Działania ochronne mające na celu zachowanie lub przywrócenie właściwego stanu siedlisk przyrodniczych i gatunków roślin, grzybów, zwierząt.</w:t>
      </w:r>
      <w:r>
        <w:br/>
        <w:t>2.</w:t>
      </w:r>
      <w:r>
        <w:tab/>
        <w:t>Monitoring siedlisk przyrodniczych i gatunków roślin, grzybów, zwierząt jako element projektu ochrony bioróżnorodności.</w:t>
      </w:r>
      <w:r>
        <w:br/>
        <w:t>3.</w:t>
      </w:r>
      <w:r>
        <w:tab/>
        <w:t>Zwalczanie inwazyjnych gatunków flory i fauny, jako element projektu ochrony bioróżnorodności.</w:t>
      </w:r>
      <w:r>
        <w:br/>
        <w:t>4.</w:t>
      </w:r>
      <w:r>
        <w:tab/>
        <w:t>Przebudowa/remont ośrodków edukacji ekologicznej, w tym doposażenie zaplecza dydaktycznego.</w:t>
      </w:r>
      <w:r>
        <w:br/>
        <w:t>5.</w:t>
      </w:r>
      <w:r>
        <w:tab/>
        <w:t>Budowa, rozwój ośrodków oraz centrów ochrony różnorodności biologicznej w oparciu o gatunki rodzime na obszarach miejskich i pozamiejskich, np. banków genowych, ogrodów botanicznych oraz parków miejskich służących ochronie i zwiększaniu różnorodności biologicznej.</w:t>
      </w:r>
      <w:r>
        <w:br/>
        <w:t>6.</w:t>
      </w:r>
      <w:r>
        <w:tab/>
        <w:t>Rozwój infrastruktury związanej z właściwym ukierunkowaniem ruchu turystycznego na obszarach cennych przyrodniczo służącej ograniczeniu antropopresji i degradacji środowiska.</w:t>
      </w:r>
      <w:r>
        <w:br/>
        <w:t>7.</w:t>
      </w:r>
      <w:r>
        <w:tab/>
        <w:t>Opracowanie inwentaryzacji przyrodniczej obszaru realizacji projektu ochrony bioróżnorodności jako element projektu.</w:t>
      </w:r>
      <w:r>
        <w:br/>
        <w:t>8.</w:t>
      </w:r>
      <w:r>
        <w:tab/>
        <w:t>Remediacja terenów zanieczyszczonych oraz rekultywacja terenów zdegradowanych działalnością gospodarczą.</w:t>
      </w:r>
      <w:r>
        <w:br/>
        <w:t>Ad.5, 6</w:t>
      </w:r>
      <w:r>
        <w:br/>
        <w:t>W projektach obejmujących ingerencje na terenach zieleni miejskiej i pozamiejskiej, w tym w parkach miejskich będzie wymagane udokumentowanie wartości przyrodniczej terenu, poprzedzonej inwentaryzacją przyrodniczą i zastosowaniem opartych na gatunkach rodzimych działań utrzymujących i zwiększających bioróżnorodność.</w:t>
      </w:r>
      <w:r>
        <w:br/>
        <w:t>Ad. 6</w:t>
      </w:r>
      <w:r>
        <w:br/>
        <w:t>Wsparcie infrastruktury turystycznej na obszarach chronionych będzie ograniczone do inwestycji, które będą służyły wyłącznie ochronie środowiska naturalnego, poprzez skanalizowanie ruchu turystycznego oraz zapewnią ograniczenie degradacji środowiska przyrodniczego w miejscach przemieszczania się i wypoczynku osób zwiedzających. Inwestycje, które nie przyczyniają się do ochrony, odnowy oraz zrównoważonego użytkowania obszarów chronionych, takie jak parkingi, drogi dojazdowe, nie będą kwalifikowane.</w:t>
      </w:r>
      <w:r>
        <w:br/>
        <w:t>Ad. 8</w:t>
      </w:r>
      <w:r>
        <w:br/>
        <w:t>-</w:t>
      </w:r>
      <w:r>
        <w:tab/>
        <w:t>Wsparcie w zakresie remediacji terenów zanieczyszczonych oraz rekultywacji terenów zdegradowanych działalnością gospodarczą może być udzielone w przypadkach, gdy podmiot odpowiedzialny za degradację terenu czy tez nielegalne składowanie odpadów nie może być zidentyfikowany lub nie może zostać obarczony odpowiedzialnością za sfinansowanie remediacji lub rekultywacji zgodnie z zasadą „zanieczyszczający płaci” oraz Dyrektywą 2004/35.</w:t>
      </w:r>
      <w:r>
        <w:br/>
        <w:t>-</w:t>
      </w:r>
      <w:r>
        <w:tab/>
        <w:t>Rekultywacja powinna prowadzić w pierwszej kolejności do przeznaczenia terenu na cele przyrodnicze, do rozwoju nowych terenów zielonych i zielonej infrastruktury, a także terenów spełniających funkcje publiczne oraz społeczne.</w:t>
      </w:r>
      <w:r>
        <w:br/>
        <w:t>Kluczowe warunki realizacji projektów:</w:t>
      </w:r>
      <w:r>
        <w:br/>
        <w:t>1.</w:t>
      </w:r>
      <w:r>
        <w:tab/>
        <w:t>Szczegółowe zasady kwalifikowalności wydatków określone zostaną w Regulaminie wyboru projektów.</w:t>
      </w:r>
      <w:r>
        <w:br/>
        <w:t>2.</w:t>
      </w:r>
      <w:r>
        <w:tab/>
        <w:t>Realizowane przedsięwzięcia muszą zostać zidentyfikowane w strategii terytorialnej będącej podstawa realizacji Zintegrowanych Inwestycji Terytorialnych, pozytywnie zaopiniowanej pod kątem możliwości jej finansowania w ramach Programu, przez IZ.</w:t>
      </w:r>
      <w:r>
        <w:br/>
        <w:t>3.</w:t>
      </w:r>
      <w:r>
        <w:tab/>
        <w:t>Realizowane inwestycje muszą mieć charakter zintegrowany, tj. muszą wpisywać się w cele rozwoju obszaru funkcjonalnego objętego instrumentem i być ukierunkowane na rozwiązywanie wspólnych problemów rozwojowych – oznacza to, że projekt taki musi mieć wpływ na więcej niż 1 gminę w MOF oraz jego realizacja musi być uzasadniona zarówno w części diagnostycznej, jak i w części kierunkowej strategii. Inwestycje te muszą spełniać jeden z następujących warunków: muszą być projektem partnerskim w rozumieniu art. 39 ustawy wdrożeniowej lub deklarowany powinien być wspólny efekt, rezultat lub produkt końcowy projektu, tj. wspólne wykorzystanie stworzonej w jego ramach infrastruktury.</w:t>
      </w:r>
      <w:r>
        <w:br/>
        <w:t xml:space="preserve">4. Działania niezwiązane bezpośrednio z ochroną siedlisk i gatunków chronionych, takie jak: ośrodki, centra ochrony bioróżnorodności, banki genowe, ogrody botaniczne oraz infrastruktura związana z kanalizowaniem ruchu turystycznego mogą stanowić maksymalnie 30% kosztów kwalifikowalnych projektu. </w:t>
      </w:r>
      <w:r>
        <w:br/>
        <w:t>5. Dofinansowaniu będą podlegać projekty zgodne z Programem ochrony środowiska województwa lubelskiego 2030, zmierzające do poprawy stanu środowiska, redukujące negatywne oddziaływanie działalności człowieka na środowisko naturalne oraz sprzyjające kształtowaniu postaw proekologicznych.</w:t>
      </w:r>
      <w:r>
        <w:br/>
        <w:t>6.</w:t>
      </w:r>
      <w:r>
        <w:tab/>
        <w:t>Wsparcie obejmie projekty realizowane na obszarach cennych przyrodniczo oraz parki miejskie, których wartość przyrodnicza została udokumentowana w inwentaryzacji przyrodniczej. Dofinansowanie obejmie działania utrzymujące i zwiększające bioróżnorodność oparte na gatunkach rodzimych.</w:t>
      </w:r>
      <w:r>
        <w:br/>
        <w:t>7.</w:t>
      </w:r>
      <w:r>
        <w:tab/>
        <w:t>Wsparcie zielono-niebieskiej infrastruktury w celu ochrony różnorodności biologicznej dotyczy miast o liczbie mieszkańców nie większej niż 20 tys. (z wyłączeniem stolic powiatów z przedziału 15-20 tys. mieszkańców).</w:t>
      </w:r>
      <w:r>
        <w:br/>
        <w:t>8.</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2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2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2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2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2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2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2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2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 Rozporządzenie Ministra Funduszy i Polityki Regionalnej z dnia 7 listopada 2023 r. w sprawie udzielania pomocy inwestycyjnej na remediację szkód wyrządzonych środowisku, rekultywację zdegradowanych siedlisk przyrodniczych i ekosystemów, ochronę lub odbudowę bioróżnorodności lub ekosystemów oraz wdrażanie rozwiązań opartych na zasobach przyrody w celu łagodzenia zmiany klimatu i przystosowywania się do niej w ramach regionalnych programów na lata 2021–2027 (Dz.U. 2023 poz. 2451)</w:t>
      </w:r>
    </w:p>
    <w:p w14:paraId="240F22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2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2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2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2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2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2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2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2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2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2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2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2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2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Służby publiczne, Zintegrowane Inwestycje Terytorialne (ZIT)</w:t>
      </w:r>
    </w:p>
    <w:p w14:paraId="240F22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2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22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2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bioróżnorodność, gatunki_inwazyjne, ochrona_czynna, ochrona_krajobrazu, ochrona_siedlisk, ochrona_środowiska, odtwarzanie_siedlisk, tereny_zdegradowane, zielona_infrastruktura, Zintegrowane_Inwestycje_Terytorialne</w:t>
      </w:r>
    </w:p>
    <w:p w14:paraId="240F22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2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2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2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WLWK-PLRO136 - Długość odnowionych szlaków turystycznych</w:t>
      </w:r>
    </w:p>
    <w:p w14:paraId="240F22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WLWK-PLRO137 - Długość utworzonych szlaków turystycznych</w:t>
      </w:r>
    </w:p>
    <w:p w14:paraId="240F22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2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WLWK-PLRO194 - Liczba obiektów infrastruktury na cele ukierunkowania ruchu turystycznego albo edukacji przyrodniczej</w:t>
      </w:r>
    </w:p>
    <w:p w14:paraId="240F22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2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240F22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WLWK-PLRO071 - Liczba wspartych form ochrony przyrody</w:t>
      </w:r>
    </w:p>
    <w:p w14:paraId="240F22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2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WLWK-PLRO069 - Powierzchnia obszarów chronionych i cennych przyrodniczo innych niż Natura 2000 objętych działaniami ochronnymi i odtwarzającymi</w:t>
      </w:r>
    </w:p>
    <w:p w14:paraId="240F22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WLWK-PLRO070 - Powierzchnia siedlisk wspieranych w celu uzyskania lepszego statusu ochrony</w:t>
      </w:r>
    </w:p>
    <w:p w14:paraId="240F22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WLWK-RCO038 - Powierzchnia wspieranych zrekultywowanych gruntów</w:t>
      </w:r>
    </w:p>
    <w:p w14:paraId="240F22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2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WLWK-RCO036 - Zielona infrastruktura objęta wsparciem do celów innych niż przystosowanie się do zmian klimatu</w:t>
      </w:r>
    </w:p>
    <w:p w14:paraId="240F22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PROG-FELCO01 - Liczba wspartych obiektów związanych z ochroną przyrody</w:t>
      </w:r>
    </w:p>
    <w:p w14:paraId="240F22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2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WLWK-PLRR042 - Liczba gatunków zagrożonych, dla których wykonano działania ochronne</w:t>
      </w:r>
    </w:p>
    <w:p w14:paraId="240F22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WLWK-PLRR044 - Liczba inwazyjnych gatunków obcych, wobec których podjęto działania ograniczające ich negatywny wpływ</w:t>
      </w:r>
    </w:p>
    <w:p w14:paraId="240F22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WLWK-PLRR045 - Liczba przedsięwzięć z zakresu ochrony przyrody wspartych w fazie przygotowawczej</w:t>
      </w:r>
    </w:p>
    <w:p w14:paraId="240F22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WLWK-RCR095 - Ludność mająca dostęp do nowej lub udoskonalonej zielonej infrastruktury</w:t>
      </w:r>
    </w:p>
    <w:p w14:paraId="240F22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WLWK-RCR050 - Ludność odnosząca korzyści ze środków na rzecz jakości powietrza</w:t>
      </w:r>
    </w:p>
    <w:p w14:paraId="240F22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2CB"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0" w:name="_Toc241668194"/>
      <w:r>
        <w:rPr>
          <w:rFonts w:ascii="Calibri" w:hAnsi="Calibri" w:cs="Calibri"/>
          <w:sz w:val="32"/>
        </w:rPr>
        <w:t>Działanie FELU.03.12 Usuwanie ze środowiska wyrobów zawierających azbest</w:t>
      </w:r>
      <w:bookmarkEnd w:id="30"/>
    </w:p>
    <w:p w14:paraId="240F22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2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 - Wzmacnianie ochrony i zachowania przyrody, różnorodności biologicznej oraz zielonej infrastruktury, w tym na obszarach miejskich, oraz ograniczanie wszelkich rodzajów zanieczyszczenia</w:t>
      </w:r>
    </w:p>
    <w:p w14:paraId="240F22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2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16 539 717,00</w:t>
      </w:r>
    </w:p>
    <w:p w14:paraId="240F22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2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15 712 731,00</w:t>
      </w:r>
    </w:p>
    <w:p w14:paraId="240F22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2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w:t>
      </w:r>
    </w:p>
    <w:p w14:paraId="240F22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2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 xml:space="preserve">1. Inwestycje związane z usuwaniem azbestu i wyrobów zawierających azbest ze środowiska. </w:t>
      </w:r>
      <w:r>
        <w:br/>
        <w:t xml:space="preserve">W ramach 1 typu projektu wsparciem objęte zostaną działania prowadzące do usunięcia ze środowiska azbestu i wyrobów zawierających azbest, w tym demontaż, transport i unieszkodliwianie. </w:t>
      </w:r>
      <w:r>
        <w:br/>
      </w:r>
      <w:r>
        <w:br/>
        <w:t>Kluczowe warunki realizacji projektów:</w:t>
      </w:r>
      <w:r>
        <w:br/>
        <w:t>1.Szczegółowe zasady kwalifikowalności wydatków określone zostaną w Regulaminie wyboru projektów.</w:t>
      </w:r>
      <w:r>
        <w:br/>
        <w:t>2. Dofinansowaniu będą podlegać projekty zgodne z Programem ochrony środowiska województwa lubelskiego 2030, zmierzające do poprawy stanu środowiska, redukujące negatywne oddziaływanie działalności człowieka na środowisko naturalne oraz sprzyjające kształtowaniu postaw proekologicznych.</w:t>
      </w:r>
      <w:r>
        <w:br/>
        <w:t>3. 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2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2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2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2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2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2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2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2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240F22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2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2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2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2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2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2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2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40F22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2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2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2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2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2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240F22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2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regionu korzystający z rezultatów projektu, mieszkańcy województwa</w:t>
      </w:r>
    </w:p>
    <w:p w14:paraId="240F22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2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usuwanie_zanieczyszczeń</w:t>
      </w:r>
    </w:p>
    <w:p w14:paraId="240F22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2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2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2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2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WLWK-PLRO066 - Masa wycofanych z użytkowania i unieszkodliwionych wyrobów zawierających azbest</w:t>
      </w:r>
    </w:p>
    <w:p w14:paraId="240F22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2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WLWK-RCR050 - Ludność odnosząca korzyści ze środków na rzecz jakości powietrza</w:t>
      </w:r>
    </w:p>
    <w:p w14:paraId="240F22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22F8"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31" w:name="_Toc241668195"/>
      <w:r>
        <w:rPr>
          <w:rFonts w:ascii="Calibri" w:hAnsi="Calibri" w:cs="Calibri"/>
          <w:i w:val="0"/>
          <w:sz w:val="32"/>
        </w:rPr>
        <w:t>Priorytet FELU.04 Efektywne wykorzystanie energii</w:t>
      </w:r>
      <w:bookmarkEnd w:id="31"/>
    </w:p>
    <w:p w14:paraId="240F22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22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22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22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22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22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CP2 -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240F22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23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23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23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191 347 847,00</w:t>
      </w:r>
    </w:p>
    <w:p w14:paraId="240F23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23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181 780 454,00</w:t>
      </w:r>
    </w:p>
    <w:p w14:paraId="240F23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23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3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308"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2" w:name="_Toc241668196"/>
      <w:r>
        <w:rPr>
          <w:rFonts w:ascii="Calibri" w:hAnsi="Calibri" w:cs="Calibri"/>
          <w:sz w:val="32"/>
        </w:rPr>
        <w:t>Działanie FELU.04.01 Wspieranie efektywności energetycznej w budynkach</w:t>
      </w:r>
      <w:bookmarkEnd w:id="32"/>
    </w:p>
    <w:p w14:paraId="240F23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3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240F23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3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25 199 992,00</w:t>
      </w:r>
    </w:p>
    <w:p w14:paraId="240F23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3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23 939 992,00</w:t>
      </w:r>
    </w:p>
    <w:p w14:paraId="240F23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3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044 - Renowacja zwiększająca efektywność energetyczną lub działania w zakresie efektywności energetycznej w odniesieniu do infrastruktury publicznej, projekty demonstracyjne i działania wspierające, 045 - Renowacja zwiększająca efektywność energetyczną lub działania w zakresie efektywności energetycznej w odniesieniu do infrastruktury publicznej, projekty demonstracyjne i działania wspierające zgodne z kryteriami efektywności energetycznej</w:t>
      </w:r>
    </w:p>
    <w:p w14:paraId="240F23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3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Kompleksowa modernizacja energetyczna budynków użyteczności publicznej wraz z instalacją urządzeń OZE oraz wymianą/modernizacją źródeł ciepła albo podłączeniem do sieci ciepłowniczej / chłodniczej, a także instalacją systemów zarządzania energią oraz promowaniem energooszczędności.</w:t>
      </w:r>
      <w:r>
        <w:br/>
        <w:t>2.</w:t>
      </w:r>
      <w:r>
        <w:tab/>
        <w:t>Przebudowa/wymiana nieefektywnych źródeł ciepła opartych o paliwa stałe, w tym zastosowanie systemów grzewczych opartych na niskoemisyjnych źródłach energii/OZE wraz z przyłączami budynków do sieci gazowej i miejskiej sieci ciepłowniczej połączona z termomodernizacją budynków z wyłączeniem inwestycji w budownictwie jednorodzinnym.</w:t>
      </w:r>
      <w:r>
        <w:br/>
        <w:t>Ad.1</w:t>
      </w:r>
      <w:r>
        <w:br/>
        <w:t>-</w:t>
      </w:r>
      <w:r>
        <w:tab/>
        <w:t>Dofinansowanie działań mających na celu poprawę efektywności energetycznej będzie opierało się o założenia wynikające z Dyrektywy 2023/1791 z dnia 13 września 2023 r. w sprawie efektywności energetycznej oraz zmieniającą rozporządzenie (UE) 2023/955. W przypadku realizacji projektów dotyczących głębokiej termomodernizacji konieczne będzie spełnienie warunków, w związku ze zmianami dotyczącymi opomiarowania i informacji o rozliczeniach.</w:t>
      </w:r>
      <w:r>
        <w:br/>
        <w:t>-</w:t>
      </w:r>
      <w:r>
        <w:tab/>
        <w:t>Wsparcie będzie odbywać się na podstawie Dyrektywy Parlamentu Europejskiego i Rady (UE) 2024/1275 z dnia 24 kwietnia 2024 r. w sprawie charakterystyki energetycznej budynków.</w:t>
      </w:r>
      <w:r>
        <w:br/>
        <w:t>-</w:t>
      </w:r>
      <w:r>
        <w:tab/>
        <w:t>Minimalny próg oszczędności energii pierwotnej musi kształtować się na poziomie nie niższym niż 30% (wyjątek budynki wpisane do rejestru zabytków lub podlegające ochronie konserwatorskiej).</w:t>
      </w:r>
      <w:r>
        <w:br/>
        <w:t>-</w:t>
      </w:r>
      <w:r>
        <w:tab/>
        <w:t>Wsparcie będzie przyznawane zgodnie z ustawą z dn. 21 listopada 2008 r. o wspieraniu termomodernizacji i remontów oraz o centralnej ewidencji emisyjności budynków, z uwzględnieniem przepisów Rozporządzenia Ministra Infrastruktury z dnia 12 kwietnia 2002 r. w sprawie warunków technicznych, jakim powinny odpowiadać budynki i ich usytuowanie oraz przepisów ustawy z dnia 20 maja 2016 r. o efektywności energetycznej.</w:t>
      </w:r>
      <w:r>
        <w:br/>
        <w:t>-</w:t>
      </w:r>
      <w:r>
        <w:tab/>
        <w:t>W przypadku termomodernizacji budynków na obszarze występowania gatunków chronionych wymaganym będzie posiadanie ekspertyzy ornitologicznej/chiropterologicznej.</w:t>
      </w:r>
      <w:r>
        <w:br/>
        <w:t>-</w:t>
      </w:r>
      <w:r>
        <w:tab/>
        <w:t>Premiowane będą projekty wykazujące największą efektywność kosztową w powiązaniu z efektami oszczędnościowymi oraz redukcją emisji gazów cieplarnianych, a także przeciwdziałające ubóstwu energetycznemu oraz realizowane na obszarach o największych stężeniach pyłowych.</w:t>
      </w:r>
      <w:r>
        <w:br/>
        <w:t>-</w:t>
      </w:r>
      <w:r>
        <w:tab/>
        <w:t>Zakres działań, w odniesieniu do budynków, urządzeń technicznych lub instalacji i procesów technologicznych wynikać będzie z audytów energetycznych. Dodatkowe koszty, niewynikające z audytu, mogą zostać uznane za kwalifikowalne pod warunkiem, że przyczyniają się do kompleksowej realizacji szerszych celów Europejskiego Zielonego Ładu, w tym strategii na rzecz Fali renowacji i stanowią jedynie dodatkowy element projektu o wartości maksymalnie 15% kosztów kwalifikowalnych.</w:t>
      </w:r>
      <w:r>
        <w:br/>
        <w:t>Kluczowe warunki realizacji projektów:</w:t>
      </w:r>
      <w:r>
        <w:br/>
        <w:t>1.</w:t>
      </w:r>
      <w:r>
        <w:tab/>
        <w:t>Szczegółowe zasady kwalifikowalności wydatków określone zostaną w Regulaminie wyboru projektów.</w:t>
      </w:r>
      <w:r>
        <w:br/>
        <w:t>2.</w:t>
      </w:r>
      <w:r>
        <w:tab/>
        <w:t>Wszystkie projekty będą musiały wykazać pozytywny wpływ na środowisko, przedstawiony w formie oszczędności energii, obniżonej emisji CO2 i pyłu PM 10 oraz PM 2,5 do atmosfery, zgodnie z zapisami Dyrektywy 2008/50/WE (zmienionej Dyrektywą 2015/1480/WE), lub wzrostu wykorzystania OZE.</w:t>
      </w:r>
      <w:r>
        <w:br/>
        <w:t>3.</w:t>
      </w:r>
      <w:r>
        <w:tab/>
        <w:t>Możliwa będzie wymiana tylko pieców/kotłów węglowych na instalacje zasilane OZE lub na piece gazowe wyłącznie jako hybrydowe systemy ogrzewania o znacznym udziale energii ze źródeł odnawialnych, takich jak połączenie kotła z energią słoneczną termiczną lub pompą ciepła, według hierarchii: 1. OZE. 2. piece gazowe, jako hybrydowe systemy ogrzewania. To rozwiązanie będzie stosowane w przypadku braku możliwości technicznej lub opłacalności ekonomicznej przyłączenia do sieci ciepłowniczej.</w:t>
      </w:r>
      <w:r>
        <w:br/>
        <w:t>4.</w:t>
      </w:r>
      <w:r>
        <w:tab/>
        <w:t>Instrumenty finansowe zastosowane będą w przypadku wszystkich inwestycji. Wsparciem dotacyjnym mogą być objęte jedynie:</w:t>
      </w:r>
      <w:r>
        <w:br/>
        <w:t>-</w:t>
      </w:r>
      <w:r>
        <w:tab/>
        <w:t xml:space="preserve">budynki historyczne </w:t>
      </w:r>
      <w:r>
        <w:br/>
        <w:t>Poprzez budynek historyczny rozumie się budynek/zespół budynków, który wpisuje się jednocześnie w definicje zabytku i zabytku nieruchomego ujęte w art. 3 pkt 1 i 2 ustawy z dnia 23 lipca 2003 r. o ochronie zabytków i opiece nad zabytkami oraz objęty jest co najmniej jedną z form ochrony zabytków, o których mowa w art. 7 ww. ustawy, jak i definicję budynku określoną w art. 3 pkt 2 ustawy z dnia 7 lipca 1994 r. Prawo budowlane. Budynkiem historycznym, w rozumieniu niniejszej definicji jest również budynek, powstały przed dniem 1 kwietnia 1995 r. (dzień wejścia w życie Rozporządzenia Ministra Gospodarki Przestrzennej i Budownictwa z dnia 14 grudnia 1994 r. w sprawie warunków technicznych, jakim powinny odpowiadać budynki i ich usytuowanie, wprowadzającego wymogi dotyczące projektowania i budowania budynków z uwzględnieniem oszczędności energii). Budynek/zespół budynków historycznych obejmuje również budynki powstałe po 1 kwietnia 1995 r., co do których przed tą datą wydano decyzje o pozwoleniu na budowę lub został złożony wniosek o wydanie takiej decyzji i wnioskodawca dysponuje takimi dokumentami. Dokumenty potwierdzające powstanie budynku przed dniem 1 kwietnia 1995 r. stanowią wszelkie dokumenty urzędowe potwierdzające wybudowanie budynku lub jego istnienie w tej dacie, w szczególności wydane przez właściwe organy służby geodezyjnej i kartograficznej.</w:t>
      </w:r>
      <w:r>
        <w:br/>
        <w:t>-</w:t>
      </w:r>
      <w:r>
        <w:tab/>
        <w:t xml:space="preserve">budynki użyteczności publicznej spełniające kryteria warunkujące wsparcie dotacyjne. </w:t>
      </w:r>
      <w:r>
        <w:br/>
        <w:t>Jednym z kryteriów warunkujących możliwość wsparcia dotacyjnego dla inwestycji w efektywność energetyczną budynków publicznych jest przyjęcie przez region POP zgodnego z art. 23 dyrektywy 2008/50/WE i dodatkowo egzekwowanie zapisów uchwał antysmogowych w regionach w których stosowne uchwały obowiązują oraz niewprowadzania do tych aktów zmian niekorzystnych z punktu widzenia ochrony powietrza, w szczególności zmian polegających na łagodzeniu ograniczeń i zakazów w zakresie eksploatacji instalacji lub odroczeniu terminów wejścia w życie tych ograniczeń i zakazów. Spełnienie powyższego warunku będzie leżało w gestii władz uchwałodawczych województwa lubelskiego tj. utrzymanie w mocy programów ochrony powietrza tj. Uchwały nr XVII/292/2020 Sejmiku Województwa Lubelskiego z dnia 27 lipca 2020 r. i Uchwały nr XLIX/717/2023 Sejmiku Województwa Lubelskiego z dnia 28 czerwca 2023 r. (dla aglomeracji lubelskiej) oraz Uchwały nr XVII/291/2020 Sejmiku Województwa Lubelskiego z dnia 27 lipca 2020 r. i Uchwały nr XLIX/716/2023 Sejmiku Województwa Lubelskiego z dnia 28 czerwca 2023 r. (dla strefy lubelskiej) i respektowanie uchwały antysmogowej (Uchwała nr XXIII/388/2021 Sejmiku Województwa Lubelskiego z dnia 19 lutego 2021 r.).” Kolejnym kryterium warunkującym wsparcie dotacyjne jest wskaźnik dochodów podatkowych gminy (wskaźnik Gg), który powinien być niższy od uśrednionej wartości dla województwa – łączne wypełnienie ww. kryteriów kwalifikuje do możliwości wsparcia dotacyjnego w dedykowanym działaniu.</w:t>
      </w:r>
      <w:r>
        <w:br/>
        <w:t>Warunek dotyczący wyłączenia z obowiązku stosowania instrumentów finansowych dla budynków wpisujących się w definicję budynku historycznego i budynków użyteczności publicznej gmin o wskaźniku Gg poniżej uśrednionej wartości dla województwa, należy traktować rozłącznie, tj. spełnienie jednego z powyższych warunków kwalifikuje wnioskodawcę do ubiegania się o wsparcie dotacyjne w ramach działania.</w:t>
      </w:r>
      <w:r>
        <w:br/>
        <w:t>W przypadku zastosowania art. 58 ust. 5 rozp. ogólnego, poziom dotacji będzie uzależniony od osiągniętych efektów oszczędności energetycznej i redukcji emisji CO2 w wyniku realizacji przedsięwzięcia w stosunku do stanu wyjściowego, a także od miejsca realizacji tj. na obszarach o największych stężeniach pyłowych.</w:t>
      </w:r>
      <w:r>
        <w:br/>
        <w:t>5.</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6.</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7.     Przewidywane wsparcie z Budżetu Państwa w ramach środków określonych w Kontrakcie Programowym dla Województwa Lubelskiego.</w:t>
      </w:r>
    </w:p>
    <w:p w14:paraId="240F23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3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3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3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3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3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3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3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minimis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240F23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3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3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3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240F23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3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3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3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 5%; 1% - projekty współfinansowane z Budżetu Państwa z zastrzeżeniem projektów objętych pomocą publiczną; Projekty w części objętej pomocą publiczną: zgodnie z programami pomocy publicznej</w:t>
      </w:r>
    </w:p>
    <w:p w14:paraId="240F23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3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3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3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3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3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Służby publiczne</w:t>
      </w:r>
    </w:p>
    <w:p w14:paraId="240F23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3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województwa</w:t>
      </w:r>
    </w:p>
    <w:p w14:paraId="240F23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3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budynki_użyteczności_publicznej, efektywność_energetyczna, emisja_gazów_cieplarnianych, inteligentne_systemy_zarządzania_energią, modernizacja_energetyczna, ocieplenie_budynku, oszczędność_energii, OZE, zmodernizowany</w:t>
      </w:r>
    </w:p>
    <w:p w14:paraId="240F23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3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3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3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240F23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240F23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240F23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3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3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240F23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240F23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240F23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240F23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240F23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240F23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240F23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3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240F23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240F23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240F23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240F23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240F23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WLWK-PLRR009 - Liczba dodatkowych użytkowników podłączonych do sieci ciepłowniczej</w:t>
      </w:r>
    </w:p>
    <w:p w14:paraId="240F23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WLWK-RCR050 - Ludność odnosząca korzyści ze środków na rzecz jakości powietrza</w:t>
      </w:r>
    </w:p>
    <w:p w14:paraId="240F23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WLWK-PLRR073 - Roczne zużycie energii pierwotnej w: budynkach publicznych</w:t>
      </w:r>
    </w:p>
    <w:p w14:paraId="240F23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WLWK-PLRR072 - Roczne zużycie energii pierwotnej w: lokalach mieszkalnych</w:t>
      </w:r>
    </w:p>
    <w:p w14:paraId="240F23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3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WLWK-RCR105 - Szacowana emisja gazów cieplarnianych z kotłów i systemów ciepłowniczych przekształconych z zasilania stałymi paliwami kopalnymi na zasilanie gazem</w:t>
      </w:r>
    </w:p>
    <w:p w14:paraId="240F23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349"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3" w:name="_Toc241668197"/>
      <w:r>
        <w:rPr>
          <w:rFonts w:ascii="Calibri" w:hAnsi="Calibri" w:cs="Calibri"/>
          <w:sz w:val="32"/>
        </w:rPr>
        <w:t>Działanie FELU.04.02 Wspieranie efektywności energetycznej w sektorze mieszkaniowym</w:t>
      </w:r>
      <w:bookmarkEnd w:id="33"/>
    </w:p>
    <w:p w14:paraId="240F23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3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240F23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3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21 481 662,00</w:t>
      </w:r>
    </w:p>
    <w:p w14:paraId="240F23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3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20 407 579,00</w:t>
      </w:r>
    </w:p>
    <w:p w14:paraId="240F23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3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041 - Renowacja istniejących budynków mieszkalnych pod kątem efektywności energetycznej, projekty demonstracyjne i działania wspierające, 042 - Renowacja istniejących budynków mieszkalnych pod kątem efektywności energetycznej, projekty demonstracyjne i działania wspierające zgodne z kryteriami efektywności energetycznej</w:t>
      </w:r>
    </w:p>
    <w:p w14:paraId="240F23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3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Przebudowa/wymiana nieefektywnych źródeł ciepła opartych o paliwa stałe, w tym zastosowanie systemów grzewczych opartych na niskoemisyjnych źródłach energii/OZE wraz z przyłączami budynków do sieci gazowej i miejskiej sieci ciepłowniczej połączona z termomodernizacją budynków, z wyłączeniem inwestycji w budownictwie jednorodzinnym</w:t>
      </w:r>
      <w:r>
        <w:br/>
        <w:t>2.</w:t>
      </w:r>
      <w:r>
        <w:tab/>
        <w:t>Kompleksowa modernizacja energetyczna wielorodzinnych budynków mieszkalnych wraz z instalacją urządzeń OZE oraz wymianą/modernizacją źródeł ciepła albo podłączeniem do sieci ciepłowniczej / chłodniczej, a także instalacją systemów zarządzania energią oraz promowaniem energooszczędności.</w:t>
      </w:r>
      <w:r>
        <w:br/>
        <w:t xml:space="preserve">Ad.2 </w:t>
      </w:r>
      <w:r>
        <w:br/>
        <w:t>-</w:t>
      </w:r>
      <w:r>
        <w:tab/>
        <w:t>Dofinansowanie działań mających na celu poprawę efektywności energetycznej będzie opierało się o założenia wynikające z Dyrektywy 2023/1791 z dnia 13 września 2023 r. w sprawie efektywności energetycznej oraz zmieniającą rozporządzenie (UE) 2023/955. W przypadku realizacji projektów dotyczących głębokiej termomodernizacji konieczne będzie spełnienie warunków, w związku ze zmianami dotyczącymi opomiarowania i informacji o rozliczeniach.</w:t>
      </w:r>
      <w:r>
        <w:br/>
        <w:t>-</w:t>
      </w:r>
      <w:r>
        <w:tab/>
        <w:t>Wsparcie będzie odbywać się również na podstawie Dyrektywy Parlamentu Europejskiego i Rady (UE) 2024/1275 z dnia 24 kwietnia 2024 r. w sprawie charakterystyki energetycznej budynków.</w:t>
      </w:r>
      <w:r>
        <w:br/>
        <w:t>-</w:t>
      </w:r>
      <w:r>
        <w:tab/>
        <w:t>Minimalny próg oszczędności energii pierwotnej musi kształtować się na poziomie nie niższym niż 30% (wyjątek budynki wpisane do rejestru zabytków lub podlegające ochronie konserwatorskiej).</w:t>
      </w:r>
      <w:r>
        <w:br/>
        <w:t>-</w:t>
      </w:r>
      <w:r>
        <w:tab/>
        <w:t>Wsparcie będzie przyznawane zgodnie z ustawą z dn. 21 listopada 2008 r. o wspieraniu termomodernizacji i remontów oraz o centralnej ewidencji emisyjności budynków, z uwzględnieniem przepisów Rozporządzenia Ministra Infrastruktury z dnia 12 kwietnia 2002 r. w sprawie warunków technicznych, jakim powinny odpowiadać budynki i ich usytuowanie oraz przepisów ustawy z dnia 20 maja 2016 r. o efektywności energetycznej.</w:t>
      </w:r>
      <w:r>
        <w:br/>
        <w:t>-</w:t>
      </w:r>
      <w:r>
        <w:tab/>
        <w:t>W przypadku termomodernizacji budynków na obszarze występowania gatunków chronionych wymaganym będzie posiadanie ekspertyzy ornitologicznej/chiropterologicznej.</w:t>
      </w:r>
      <w:r>
        <w:br/>
        <w:t>-</w:t>
      </w:r>
      <w:r>
        <w:tab/>
        <w:t>Premiowane będą projekty wykazujące największą efektywność kosztową w powiązaniu z efektami oszczędnościowymi oraz redukcją emisji gazów cieplarnianych, a także przeciwdziałające ubóstwu energetycznemu oraz realizowane na obszarach o największych stężeniach pyłowych.</w:t>
      </w:r>
      <w:r>
        <w:br/>
        <w:t>-</w:t>
      </w:r>
      <w:r>
        <w:tab/>
        <w:t>Zakres działań, w odniesieniu do budynków, urządzeń technicznych lub instalacji i procesów technologicznych wynikać będzie z audytów energetycznych. Dodatkowe koszty, niewynikające z audytu, mogą zostać uznane za kwalifikowalne pod warunkiem, że przyczyniają się do kompleksowej realizacji szerszych celów Europejskiego Zielonego Ładu, w tym strategii na rzecz Fali renowacji i stanowią jedynie dodatkowy element projektu o wartości maksymalnie 15% kosztów kwalifikowalnych.</w:t>
      </w:r>
      <w:r>
        <w:br/>
        <w:t>Kluczowe warunki realizacji projektów:</w:t>
      </w:r>
      <w:r>
        <w:br/>
        <w:t>1.</w:t>
      </w:r>
      <w:r>
        <w:tab/>
        <w:t>Szczegółowe zasady kwalifikowalności wydatków określone zostaną w Regulaminie wyboru projektów.</w:t>
      </w:r>
      <w:r>
        <w:br/>
        <w:t>2.</w:t>
      </w:r>
      <w:r>
        <w:tab/>
        <w:t>Wszystkie projekty będą musiały wykazać pozytywny wpływ na środowisko, przedstawiony w formie oszczędności energii, obniżonej emisji CO2 i pyłu PM 10 oraz PM 2,5 do atmosfery, zgodnie z zapisami Dyrektywy 2008/50/WE (zmienionej Dyrektywą 2015/1480/WE), lub wzrostu wykorzystania OZE.</w:t>
      </w:r>
      <w:r>
        <w:br/>
        <w:t>3.</w:t>
      </w:r>
      <w:r>
        <w:tab/>
        <w:t>Możliwa będzie wymiana tylko pieców/kotłów węglowych na instalacje zasilanie OZE lub na piece gazowe wyłącznie jako hybrydowe systemy ogrzewania o znacznym udziale energii ze źródeł odnawialnych, takich jak połączenie kotła z energią słoneczną termiczną lub pompą ciepła, według hierarchii: 1. OZE. 2. piece gazowe, jako hybrydowe systemy ogrzewania. To rozwiązanie będzie stosowane w przypadku braku możliwości technicznej lub opłacalności ekonomicznej przyłączenia do sieci ciepłowniczej.</w:t>
      </w:r>
      <w:r>
        <w:br/>
        <w:t>4.</w:t>
      </w:r>
      <w:r>
        <w:tab/>
        <w:t>Instrumenty finansowe zastosowane będą w przypadku wszystkich inwestycji. Wsparciem dotacyjnym mogą być objęte jedynie:</w:t>
      </w:r>
      <w:r>
        <w:br/>
        <w:t>-</w:t>
      </w:r>
      <w:r>
        <w:tab/>
        <w:t xml:space="preserve">budynki komunalne </w:t>
      </w:r>
      <w:r>
        <w:br/>
        <w:t>Poprzez budynek komunalny rozumie się budynek wchodzący w skład gminnego zasobu nieruchomości stanowiący własność lub inne prawo majątkowe należące do gmin i ich związków oraz mienie (budynek) innych gminnych osób prawnych, w tym przedsiębiorstw (na podstawie definicji mienia komunalnego - art. 43 ustawy z dnia 8 marca 1990 r. o samorządzie gminnym oraz definicji gminnego zasobu nieruchomości - art. 24 ust. 1 ustawy z dnia 21 sierpnia 1997 r. o gospodarce nieruchomościami. W rozumieniu zapisów dotyczących Celu szczegółowego 2(i) wspieranie efektywności energetycznej i redukcji emisji gazów cieplarnianych programu Fundusze Europejskie dla Lubelskiego na lata 2021-2027, budynek komunalny będący przedmiotem wsparcia musi obligatoryjnie przyczyniać się do redukcji ubóstwa energetycznego (zgodnie z definicją ubóstwa energetycznego zawartą w art. 5gb. ust. 1 ustawy z dnia 10 kwietnia 1997 r. – Prawo energetyczne. Definicję uznaje się za spełnioną również w przypadku budynków, w których co najmniej 30% powierzchni użytkowej budynku przeznaczone jest na najem socjalny i/lub mieszkania treningowe i/lub wspomagane,</w:t>
      </w:r>
      <w:r>
        <w:br/>
        <w:t>-</w:t>
      </w:r>
      <w:r>
        <w:tab/>
        <w:t xml:space="preserve">budynki historyczne </w:t>
      </w:r>
      <w:r>
        <w:br/>
        <w:t>Poprzez budynek historyczny rozumie się budynek/zespół budynków, który wpisuje się jednocześnie w definicje zabytku i zabytku nieruchomego ujęte w art. 3 pkt 1 i 2 ustawy z dnia 23 lipca 2003 r. o ochronie zabytków i opiece nad zabytkami oraz objęty jest co najmniej jedną z form ochrony zabytków, o których mowa w art. 7 ww. ustawy, jak i definicję budynku określoną w art. 3 pkt 2 ustawy z dnia 7 lipca 1994 r. Prawo budowlane. Budynkiem historycznym, w rozumieniu niniejszej definicji jest również budynek, powstały przed dniem 1 kwietnia 1995 r. (dzień wejścia w życie Rozporządzenia Ministra Gospodarki Przestrzennej i Budownictwa z dnia 14 grudnia 1994 r. w sprawie warunków technicznych, jakim powinny odpowiadać budynki i ich usytuowanie, wprowadzającego wymogi dotyczące projektowania i budowania budynków z uwzględnieniem oszczędności energii). Budynek/zespół budynków historycznych obejmuje również budynki powstałe po 1 kwietnia 1995 r., co do których przed tą datą wydano decyzje o pozwoleniu na budowę lub został złożony wniosek o wydanie takiej decyzji i wnioskodawca dysponuje takimi dokumentami. Dokumenty potwierdzające powstanie budynku przed dniem 1 kwietnia 1995 r. stanowią wszelkie dokumenty urzędowe potwierdzające wybudowanie budynku lub jego istnienie w tej dacie, w szczególności wydane przez właściwe organy służby geodezyjnej i kartograficznej.</w:t>
      </w:r>
      <w:r>
        <w:br/>
        <w:t>W przypadku zastosowania art. 58 ust. 5 rozp. ogólnego, poziom dotacji będzie uzależniony od osiągniętych efektów oszczędności energetycznej i redukcji emisji CO2 w wyniku realizacji przedsięwzięcia w stosunku do stanu wyjściowego, a także od miejsca realizacji tj. na obszarach o największych stężeniach pyłowych oraz objęcia Inwestycją Końcową budynków, w których istnieją/planowane są lokale stanowiące mieszkania komunalne, przeznaczone na najem socjalny, treningowe i/lub mieszkania wspomagane.</w:t>
      </w:r>
      <w:r>
        <w:br/>
        <w:t>5.</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6.</w:t>
      </w:r>
      <w:r>
        <w:tab/>
        <w:t xml:space="preserve">Wsparcie w ramach Działania jest zgodne z Wytycznymi dotyczącymi realizacji zasad równościowych w ramach funduszy unijnych na lata 2021-2027, w szczególności wsparcie jest udzielane projektom uwzględniającym koncepcję uniwersalnego projektowania, zgodnie z ww. Wytycznymi. </w:t>
      </w:r>
    </w:p>
    <w:p w14:paraId="240F23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3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3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3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3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3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3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3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minimis w ramach regionalnych programów na lata 2021–2027 (Dz.U. 2024 poz. 598)</w:t>
      </w:r>
    </w:p>
    <w:p w14:paraId="240F23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3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3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3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240F23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3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3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3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3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3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3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3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3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3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wspierające biznes, Organizacje społeczne i związki wyznaniowe, Służby publiczne</w:t>
      </w:r>
    </w:p>
    <w:p w14:paraId="240F23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3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województwa</w:t>
      </w:r>
    </w:p>
    <w:p w14:paraId="240F23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3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budynki_mieszkalne, efektywność_energetyczna, emisja_gazów_cieplarnianych, inteligentne_systemy_zarządzania_energią, modernizacja_energetyczna, ocieplenie_budynku, oszczędność_energii, OZE, zmodernizowany</w:t>
      </w:r>
    </w:p>
    <w:p w14:paraId="240F23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3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3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3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240F23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240F23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3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3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240F23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240F23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240F23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240F23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240F23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240F23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240F23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3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240F23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240F23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240F23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240F23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240F23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WLWK-PLRR009 - Liczba dodatkowych użytkowników podłączonych do sieci ciepłowniczej</w:t>
      </w:r>
    </w:p>
    <w:p w14:paraId="240F23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WLWK-PLRR072 - Roczne zużycie energii pierwotnej w: lokalach mieszkalnych</w:t>
      </w:r>
    </w:p>
    <w:p w14:paraId="240F23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3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WLWK-RCR105 - Szacowana emisja gazów cieplarnianych z kotłów i systemów ciepłowniczych przekształconych z zasilania stałymi paliwami kopalnymi na zasilanie gazem</w:t>
      </w:r>
    </w:p>
    <w:p w14:paraId="240F23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387"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4" w:name="_Toc241668198"/>
      <w:r>
        <w:rPr>
          <w:rFonts w:ascii="Calibri" w:hAnsi="Calibri" w:cs="Calibri"/>
          <w:sz w:val="32"/>
        </w:rPr>
        <w:t>Działanie FELU.04.03 Wspieranie efektywności energetycznej i energooszczędności w ramach Zintegrowanych Inwestycji Terytorialnych</w:t>
      </w:r>
      <w:bookmarkEnd w:id="34"/>
    </w:p>
    <w:p w14:paraId="240F23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3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240F23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3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38 287 740,00</w:t>
      </w:r>
    </w:p>
    <w:p w14:paraId="240F23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3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36 373 353,00</w:t>
      </w:r>
    </w:p>
    <w:p w14:paraId="240F23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3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041 - Renowacja istniejących budynków mieszkalnych pod kątem efektywności energetycznej, projekty demonstracyjne i działania wspierające, 042 - Renowacja istniejących budynków mieszkalnych pod kątem efektywności energetycznej, projekty demonstracyjne i działania wspierające zgodne z kryteriami efektywności energetycznej, 043 - Budowa nowych energooszczędnych budynków, 044 - Renowacja zwiększająca efektywność energetyczną lub działania w zakresie efektywności energetycznej w odniesieniu do infrastruktury publicznej, projekty demonstracyjne i działania wspierające, 045 - Renowacja zwiększająca efektywność energetyczną lub działania w zakresie efektywności energetycznej w odniesieniu do infrastruktury publicznej, projekty demonstracyjne i działania wspierające zgodne z kryteriami efektywności energetycznej</w:t>
      </w:r>
    </w:p>
    <w:p w14:paraId="240F23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3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r>
      <w:r>
        <w:br/>
        <w:t>Typy projektów:</w:t>
      </w:r>
      <w:r>
        <w:br/>
        <w:t>1.</w:t>
      </w:r>
      <w:r>
        <w:tab/>
        <w:t>Przebudowa/wymiana nieefektywnych źródeł ciepła opartych o paliwa stałe, w tym zastosowanie systemów grzewczych opartych na niskoemisyjnych źródłach energii/OZE wraz z przyłączami budynków do sieci gazowej i miejskiej sieci ciepłowniczej połączona z termomodernizacją budynków, z wyłączeniem inwestycji w budownictwie jednorodzinnym</w:t>
      </w:r>
      <w:r>
        <w:br/>
        <w:t>2.</w:t>
      </w:r>
      <w:r>
        <w:tab/>
        <w:t>Kompleksowa modernizacja energetyczna bud. użyt. publ. wraz z instalacją urządzeń OZE oraz wymianą/modernizacją źródeł ciepła albo podłączeniem do sieci ciepłowniczej / chłodniczej, a także instalacją systemów zarządzania energią oraz promowaniem energooszczędności</w:t>
      </w:r>
      <w:r>
        <w:br/>
        <w:t>3.</w:t>
      </w:r>
      <w:r>
        <w:tab/>
        <w:t>Kompleksowa modernizacja energetyczna wielorodzinnych bud. mieszk. wraz z instalacją urządzeń OZE oraz wymianą/modernizacją źródeł ciepła albo podłączeniem do sieci ciepłowniczej / chłodniczej, a także instalacją systemów zarządzania energią oraz promowaniem energooszczędności</w:t>
      </w:r>
      <w:r>
        <w:br/>
        <w:t>4.</w:t>
      </w:r>
      <w:r>
        <w:tab/>
        <w:t>Budowa bud. pasywnych przez sektor publ., mająca na celu pełnienie przez ten sektor wzorcowej roli w zakresie EE</w:t>
      </w:r>
      <w:r>
        <w:br/>
        <w:t>5.</w:t>
      </w:r>
      <w:r>
        <w:tab/>
        <w:t>Efektywne sieci ciepłownicze/chłodnicze wraz z magazynami energii (budowa/rozbudowa/ modernizacja), inwestycje do 5 MW mocy zamówionej</w:t>
      </w:r>
      <w:r>
        <w:br/>
        <w:t>Ad.2,3</w:t>
      </w:r>
      <w:r>
        <w:br/>
        <w:t>-Dofinansowanie działań mających na celu poprawę EE będzie opierać się o założenia wynikające z Dyrektywy 2023/1791 z dnia 13 września 2023 r. w sprawie efektywności energetycznej oraz zmieniającą rozporządzenie (UE) 2023/955. W przypadku realizacji projektów dot. głębokiej termomodernizacji konieczne będzie spełnienie warunków, w związku ze zmianami dot. opomiarowania i informacji o rozliczeniach.</w:t>
      </w:r>
      <w:r>
        <w:br/>
        <w:t>-Wsparcie będzie odbywać się na podstawie Dyrektywy Parlamentu Europejskiego i Rady (UE) 2024/1275 z dnia 24 kwietnia 2024 r. w sprawie charakterystyki energetycznej budynków.</w:t>
      </w:r>
      <w:r>
        <w:br/>
        <w:t>-Minimalny próg oszcz. energii pierwotnej musi kształtować się na poziomie nie niższym niż 30% (wyjątek bud. wpisane do rejestru zabytków lub podlegające ochronie konserwatorskiej).</w:t>
      </w:r>
      <w:r>
        <w:br/>
        <w:t>-Wsparcie będzie przyzn. zgodnie z ustawą z dn. 21 listopada 2008 r. o wspieraniu termomodernizacji i remontów oraz o centralnej ewidencji emisyjności budynków, z uwzględnieniem przepisów Rozporządzenia Ministra Infrastruktury z dnia 12 kwietnia 2002 r. w sprawie warunków technicznych, jakim powinny odpowiadać budynki i ich usytuowanie oraz przepisów ustawy z dnia 20 maja 2016 r. o EE.</w:t>
      </w:r>
      <w:r>
        <w:br/>
        <w:t>-W przypadku termomodernizacji budynków na obszarze występowania gatunków chronionych wymagane będzie posiadanie ekspertyzy ornitologicznej/chiropterologicznej.</w:t>
      </w:r>
      <w:r>
        <w:br/>
        <w:t>-Premiowane będą projekty wykazujące największą efektywność kosztową w powiązaniu z efektami oszczędnościowymi oraz redukcją emisji gazów cieplarnianych, a także przeciwdziałające ubóstwu energetycznemu oraz realizowane na obszarach o największych stężeniach pyłowych.</w:t>
      </w:r>
      <w:r>
        <w:br/>
        <w:t>-Zakres działań, w odniesieniu do bud., urządzeń technicznych lub instalacji i procesów technologicznych wynikać będzie z audytów energetycznych. Dodatkowe koszty, niewynikające z audytu, mogą zostać uznane za kwalifikowalne pod warunkiem, że przyczyniają się do kompleksowej realizacji szerszych celów Europejskiego Zielonego Ładu, w tym strategii na rzecz Fali renowacji i stanowią dodatkowy element projektu o wartości maks. 15% kosztów kwalifikowalnych</w:t>
      </w:r>
      <w:r>
        <w:br/>
        <w:t>Ad.1;2;3</w:t>
      </w:r>
      <w:r>
        <w:br/>
        <w:t>-Możliwa będzie wymiana pieców/kotłów węglowych na instalacje OZE lub piece gazowe wyłącznie jako hybrydowe systemy ogrzewania o znacznym udziale energii ze źródeł odnawialnych, takich jak połączenie kotła z energią słoneczną termiczną lub pompą ciepła, według hierarchii: 1. OZE. 2. piece gazowe jako hybrydowe systemy ogrzewania. To rozwiązanie będzie stosowane w przypadku braku możliwości technicznej lub opłacalności ekonomicznej przyłączenia do sieci ciepłowniczej.</w:t>
      </w:r>
      <w:r>
        <w:br/>
        <w:t>-Do wsparcia kwalifikują się wyłącznie:</w:t>
      </w:r>
      <w:r>
        <w:br/>
        <w:t xml:space="preserve">- budynki komunalne </w:t>
      </w:r>
      <w:r>
        <w:br/>
        <w:t xml:space="preserve">- budynki historyczne </w:t>
      </w:r>
      <w:r>
        <w:br/>
        <w:t>Definicja  budynku komunalnego oraz budynku historycznego podana jest w Działaniu FELU.04.02 Wspieranie efektywności energetycznej w sektorze mieszkaniowym.</w:t>
      </w:r>
      <w:r>
        <w:br/>
        <w:t xml:space="preserve">- budynki użyteczności publicznej spełniające kryteria warunkujące wsparcie dotacyjne. </w:t>
      </w:r>
      <w:r>
        <w:br/>
        <w:t>Jednym z kryteriów jest przyjęcie przez region POP zgodnego z art. 23 dyrektywy 2008/50/WE i dodatkowo egzekwowanie zapisów uchwał antysmogowych w regionach w których stosowne uchwały obowiązują oraz niewprowadzania do tych aktów zmian niekorzystnych z punktu widzenia ochrony powietrza, w szczególności zmian polegających na łagodzeniu ograniczeń i zakazów w zakresie eksploatacji instalacji lub odroczeniu terminów wejścia w życie tych ograniczeń i zakazów. Spełnienie ww. warunku będzie leżało w gestii władz uchwałodawczych województwa lubelskiego tj. utrzymanie w mocy programów ochrony powietrza tj. Uchwały nr XVII/292/2020 Sejmiku Województwa Lubelskiego z dnia 27 lipca 2020 r. i Uchwały nr XLIX/717/2023 Sejmiku Województwa Lubelskiego z dnia 28 czerwca 2023 r. (dla aglomeracji lubelskiej) oraz Uchwały nr XVII/291/2020 Sejmiku Województwa Lubelskiego z dnia 27 lipca 2020 r. i Uchwały nr XLIX/716/2023 Sejmiku Województwa Lubelskiego z dnia 28 czerwca 2023 r.    (dla strefy lubelskiej) i respektowanie uchwały antysmogowej (Uchwała nr XXIII/388/2021 Sejmiku Województwa Lubelskiego z dnia 19 lutego 2021 r.). Kolejnym kryterium warunkującym wsparcie dotacyjne jest wskaźnik dochodów podatkowych gminy (wskaźnik Gg), który powinien być niższy od uśrednionej wartości dla województwa-łączne wypełnienie ww. kryteriów kwalifikuje do możliwości wsparcia dotacyjnego w Działaniu.</w:t>
      </w:r>
      <w:r>
        <w:br/>
        <w:t>Warunek dot. wyłączenia z obowiązku stosowania IF dla budynków wpisujących się w definicję budynku komunalnego, historycznego i budynków użyteczności publ. gmin o wskaźniku Gg poniżej uśrednionej wartości dla województwa, należy traktować rozłącznie, tj. spełnienie jednego z powyższych warunków kwalifikuje wnioskodawcę do ubiegania się o wsparcie dotacyjne w działaniu.</w:t>
      </w:r>
      <w:r>
        <w:br/>
        <w:t>Ad.4</w:t>
      </w:r>
      <w:r>
        <w:br/>
        <w:t>-Budowa budynków pasywnych (zapotrzebowanie na ciepło EPh+W nie więcej niż 15 kWh/m2/rok) jako nowych obiektów nie może naruszać zapisów FEL 2021-2027 odnoszących się do wyłączeń i ograniczeń co do budowy niektórych typów budynków określonych w innych CS lub Umowie Partnerstwa.</w:t>
      </w:r>
      <w:r>
        <w:br/>
        <w:t>-Wykluczeniu ze wsparcia podlegają inwestycje infrastruktur. w placówki świadczące całodobowa opiekę długoterminową w instytucjonalnych formach (w tym zakłady opiekuńczo-lecznicze oraz zakłady pielęgnacyjno-opiekuńcze, domy pomocy społecznej) oraz lecznictwo szpitalne (z wyłączeniem ambulatoryjnej opieki specjalistycznej oraz opieki jednego dnia).</w:t>
      </w:r>
      <w:r>
        <w:br/>
        <w:t>Ad.5</w:t>
      </w:r>
      <w:r>
        <w:br/>
        <w:t>-W ciepłownictwie systemowym dofinansowaniu będą podlegały projekty z wykorzystaniem OZE. W przypadku braku takiej możliwości w oparciu o niskoemisyjne, kogeneracyjne, itp. procesy przemysłowe</w:t>
      </w:r>
      <w:r>
        <w:br/>
        <w:t>-Budowa/modernizacja systemów ciepłowniczych i chłodniczych (sieci) wraz z magazynami ciepła- inwestycje o mocy zamówionej nie więcej niż 5 MW</w:t>
      </w:r>
      <w:r>
        <w:br/>
        <w:t>Kluczowe warunki realizacji projektów:</w:t>
      </w:r>
      <w:r>
        <w:br/>
        <w:t>1.</w:t>
      </w:r>
      <w:r>
        <w:tab/>
        <w:t>Szczegółowe zasady kwalifikowalności wydatków określone zostaną w Regulaminie wyboru projektów</w:t>
      </w:r>
      <w:r>
        <w:br/>
        <w:t>2.</w:t>
      </w:r>
      <w:r>
        <w:tab/>
        <w:t>Przedsięwzięcia muszą zostać zidentyfikowane w strategii terytorialnej będącej podstawą realizacji ZIT, pozytywnie zaopiniowanej pod kątem możliwości jej finansowania w ramach Programu, przez IZ</w:t>
      </w:r>
      <w:r>
        <w:br/>
        <w:t>3.</w:t>
      </w:r>
      <w:r>
        <w:tab/>
        <w:t>Inwestycje muszą mieć charakter zintegrowany, tj. muszą wpisywać się w cele rozwoju MOF objętego instrumentem i być ukierunkowane na rozwiązywanie wspólnych problemów rozwojowych–projekt musi mieć wpływ na więcej niż 1 gminę w MOF oraz jego realizacja musi być uzasadniona w części diagnostycznej i w części kierunkowej strategii. Inwestycje te muszą spełniać jeden z warunków: muszą być projektem partnerskim w rozumieniu art. 39 ustawy wdrożeniowej lub deklarowany powinien być wspólny efekt, rezultat lub produkt końcowy projektu, tj. wspólne wykorzystanie stworzonej w jego ramach infrastruktury.</w:t>
      </w:r>
      <w:r>
        <w:br/>
        <w:t>4. Wszystkie projekty będą musiały wykazać pozytywny wpływ na środowisko, przedstawiony w formie oszczędności energii, obniżonej emisji CO2 i pyłu PM 10 oraz PM 2,5 do atmosfery, zgodnie z zapisami Dyrektywy 2008/50/WE (zmienionej Dyrektywą 2015/1480/WE), lub wzrostu wykorzystania OZE</w:t>
      </w:r>
      <w:r>
        <w:br/>
        <w:t>5. Wsparcie nie może być udzielone w zakresie, w jakim jest wykluczone w art. 1 ust. 2 - 5 Rozp. Komisji (UE) NR 651/2014 z dnia 17 czerwca 2014 r. oraz w art. 1 ust. 1 Rozp. Komisji (UE) nr 2023/2831 z dnia 13 grudnia 2023 r.</w:t>
      </w:r>
      <w:r>
        <w:br/>
        <w:t>6. Wsparcie jest zgodne z Wytycznymi dotyczącymi realizacji zasad równościowych w ramach funduszy unijnych na lata 2021-2027, w szczeg. wsparcie jest udzielane projektom uwzgl. koncepcję uniwersalnego projektowania.</w:t>
      </w:r>
    </w:p>
    <w:p w14:paraId="240F23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3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3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3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3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3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3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3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16 sierpnia 2023 r. w sprawie udzielania pomocy inwestycyjnej na system ciepłowniczy i chłodniczy w ramach regionalnych programów na lata 2021-2027 (Dz.U. 2023 poz. 1768), Rozporządzenie Ministra Funduszy i Polityki Regionalnej z dnia 17 kwietnia 2024 r. w sprawie udzielania pomocy de minimis w ramach regionalnych programów na lata 2021–2027 (Dz.U. 2024 poz. 598)</w:t>
      </w:r>
    </w:p>
    <w:p w14:paraId="240F23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3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3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3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3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3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3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3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3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3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3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3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3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3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Organizacje społeczne i związki wyznaniowe, Służby publiczne, Zintegrowane Inwestycje Terytorialne (ZIT)</w:t>
      </w:r>
    </w:p>
    <w:p w14:paraId="240F23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3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23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3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budynki_mieszkalne, budynki_użyteczności_publicznej, efektywność_energetyczna, emisja_gazów_cieplarnianych, inteligentne_systemy_zarządzania_energią, ocieplenie_budynku, OZE, sieci_ciepłownicze, Zintegrowane_Inwestycje_Terytorialne</w:t>
      </w:r>
    </w:p>
    <w:p w14:paraId="240F23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3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3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3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240F23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240F23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240F23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3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240F23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3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240F23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240F23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240F23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240F23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240F23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240F23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240F23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WLWK-RCO123 - Lokale mieszkalne wykorzystujące kotły i systemy ciepłownicze zasilane gazem ziemnym zastępujące instalacje zasilane stałymi paliwami kopalnymi</w:t>
      </w:r>
    </w:p>
    <w:p w14:paraId="240F23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3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WLWK-PLRO022 - Powierzchnia użytkowa budynków mieszkalnych poddanych termomodernizacji</w:t>
      </w:r>
    </w:p>
    <w:p w14:paraId="240F23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3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3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WLWK-PLRR017 - Ilość wytworzonej energii cieplnej w warunkach wysokosprawnej kogeneracji</w:t>
      </w:r>
    </w:p>
    <w:p w14:paraId="240F23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240F23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WLWK-PLRR016 - Ilość wytworzonej energii elektrycznej w warunkach wysokosprawnej kogeneracji</w:t>
      </w:r>
    </w:p>
    <w:p w14:paraId="240F23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240F23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240F23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240F23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WLWK-PLRR009 - Liczba dodatkowych użytkowników podłączonych do sieci ciepłowniczej</w:t>
      </w:r>
    </w:p>
    <w:p w14:paraId="240F23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WLWK-RCR050 - Ludność odnosząca korzyści ze środków na rzecz jakości powietrza</w:t>
      </w:r>
    </w:p>
    <w:p w14:paraId="240F23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WLWK-PLRR073 - Roczne zużycie energii pierwotnej w: budynkach publicznych</w:t>
      </w:r>
    </w:p>
    <w:p w14:paraId="240F23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WLWK-PLRR072 - Roczne zużycie energii pierwotnej w: lokalach mieszkalnych</w:t>
      </w:r>
    </w:p>
    <w:p w14:paraId="240F23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3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3CD"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5" w:name="_Toc241668199"/>
      <w:r>
        <w:rPr>
          <w:rFonts w:ascii="Calibri" w:hAnsi="Calibri" w:cs="Calibri"/>
          <w:sz w:val="32"/>
        </w:rPr>
        <w:t>Działanie FELU.04.04 Wspieranie efektywności energetycznej i energooszczędności w ramach Innych Instrumentów Terytorialnych</w:t>
      </w:r>
      <w:bookmarkEnd w:id="35"/>
    </w:p>
    <w:p w14:paraId="240F23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3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240F23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3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4 679 637,00</w:t>
      </w:r>
    </w:p>
    <w:p w14:paraId="240F23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3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4 445 655,00</w:t>
      </w:r>
    </w:p>
    <w:p w14:paraId="240F23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3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041 - Renowacja istniejących budynków mieszkalnych pod kątem efektywności energetycznej, projekty demonstracyjne i działania wspierające, 042 - Renowacja istniejących budynków mieszkalnych pod kątem efektywności energetycznej, projekty demonstracyjne i działania wspierające zgodne z kryteriami efektywności energetycznej, 043 - Budowa nowych energooszczędnych budynków, 044 - Renowacja zwiększająca efektywność energetyczną lub działania w zakresie efektywności energetycznej w odniesieniu do infrastruktury publicznej, projekty demonstracyjne i działania wspierające, 045 - Renowacja zwiększająca efektywność energetyczną lub działania w zakresie efektywności energetycznej w odniesieniu do infrastruktury publicznej, projekty demonstracyjne i działania wspierające zgodne z kryteriami efektywności energetycznej</w:t>
      </w:r>
    </w:p>
    <w:p w14:paraId="240F23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3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1.Przebudowa/wymiana nieefektywnych źródeł ciepła opartych o paliwa stałe, w tym zastosowanie systemów grzewczych opartych na niskoemisyjnych źródłach energii/OZE wraz z przyłączami bud. do sieci gazowej i miejskiej sieci ciepłowniczej połączona z termomodernizacją bud., z wyłączeniem inwestycji w budownictwie jednorodzinnym.</w:t>
      </w:r>
      <w:r>
        <w:br/>
        <w:t>2.Kompleksowa modernizacja energetyczna bud. użyteczności publicznej wraz z instalacją urządzeń OZE oraz wymianą/modernizacją źródeł ciepła albo podłączeniem do sieci ciepłowniczej / chłodniczej, a także instalacją systemów zarządzania energią oraz promowaniem energooszczędności.</w:t>
      </w:r>
      <w:r>
        <w:br/>
        <w:t>3.Kompleksowa modernizacja energetyczna wielorodzinnych bud. mieszk. wraz z instalacją urządzeń OZE oraz wymianą/modernizacją źródeł ciepła albo podłączeniem do sieci ciepłowniczej / chłodniczej, a także instalacją systemów zarządzania energią oraz promowaniem energooszczędności.</w:t>
      </w:r>
      <w:r>
        <w:br/>
        <w:t>4.Budowa bud. pasywnych przez sektor publ., mająca na celu pełnienie przez ten sektor wzorcowej roli w zakresie efektywności energetycznej.</w:t>
      </w:r>
      <w:r>
        <w:br/>
        <w:t>5.Efektywne sieci ciepłownicze/chłodnicze wraz z magazynami energii (budowa/rozbudowa/ modernizacja), inwestycje do 5 MW mocy zamówionej.</w:t>
      </w:r>
      <w:r>
        <w:br/>
        <w:t>6.Budowa/rozbudowa/przebudowa energooszczędnego oświetlenia ulicznego.</w:t>
      </w:r>
      <w:r>
        <w:br/>
        <w:t>Ad.2,3</w:t>
      </w:r>
      <w:r>
        <w:br/>
        <w:t>-Dofinansowanie działań mających na celu poprawę EE będzie opierało się o założenia wynikające z Dyrektywy 2023/1791 z dnia 13 września 2023 r. w sprawie efektywności energetycznej oraz zmieniającą rozporządzenie (UE) 2023/955. W przypadku realizacji projektów dot. głębokiej termomodernizacji konieczne będzie spełnienie warunków, w związku ze zmianami dotyczącymi opomiarowania i informacji o rozliczeniach.</w:t>
      </w:r>
      <w:r>
        <w:br/>
        <w:t>-Wsparcie będzie odbywać się również na podstawie Dyrektywy Parlamentu Europejskiego i Rady (UE) 2024/1275 z dnia 24 kwietnia 2024 r. w sprawie charakterystyki energetycznej budynków.</w:t>
      </w:r>
      <w:r>
        <w:br/>
        <w:t>-Minimalny próg oszczędności energii pierwotnej musi kształtować się na poziomie nie niższym niż 30% (wyjątek budynki wpisane do rejestru zabytków lub podlegające ochronie konserwatorskiej).</w:t>
      </w:r>
      <w:r>
        <w:br/>
        <w:t>-Wsparcie będzie przyznawane zgodnie z ustawą z dn. 21 listopada 2008 r. o wspieraniu termomodernizacji i remontów oraz o centralnej ewidencji emisyjności budynków, z uwzględnieniem przepisów Rozporządzenia Ministra Infrastruktury z dnia 12 kwietnia 2002 r. w sprawie warunków technicznych, jakim powinny odpowiadać budynki i ich usytuowanie oraz przepisów ustawy z dnia 20 maja 2016 r. o EE</w:t>
      </w:r>
      <w:r>
        <w:br/>
        <w:t>-W przypadku termomodernizacji bud. na obszarze występowania gatunków chronionych wymagane będzie posiadanie ekspertyzy ornitologicznej/chiropterologicznej.</w:t>
      </w:r>
      <w:r>
        <w:br/>
        <w:t>-Premiowane będą projekty wykazujące największą efektywność kosztową w powiązaniu z efektami oszczędnościowymi oraz redukcją emisji gazów cieplarnianych, a także przeciwdziałające ubóstwu energetycznemu oraz realizowane na obszarach o największych stężeniach pyłowych.</w:t>
      </w:r>
      <w:r>
        <w:br/>
        <w:t>-Zakres działań, w odniesieniu do bud., urządzeń technicznych lub instalacji i procesów technologicznych wynikać będzie z audytów energetycznych. Dodatkowe koszty, niewynikające z audytu, mogą zostać uznane za kwalifikowalne pod warunkiem, że przyczyniają się do kompleksowej realizacji szerszych celów Europejskiego Zielonego Ładu, w tym strategii na rzecz Fali renowacji i stanowią dodatkowy element projektu o wartości maks. 15% kosztów kwalifikowalnych.</w:t>
      </w:r>
      <w:r>
        <w:br/>
        <w:t>Ad.1;2;3</w:t>
      </w:r>
      <w:r>
        <w:br/>
        <w:t>-Możliwa będzie  wymiana tylko pieców/kotłów węglowych na instalacje zasilane OZE lub na piece gazowe wyłącznie jako hybrydowe systemy ogrzewania o znacznym udziale energii ze źródeł odnawialnych, takich jak połączenie kotła z energią słoneczną termiczną lub pompą ciepła, według hierarchii: 1. OZE. 2. piece gazowe jako hybrydowe systemy ogrzewania. To rozwiązanie będzie stosowane w przypadku braku możliwości technicznej lub opłacalności ekonomicznej przyłączenia do sieci ciepłowniczej.</w:t>
      </w:r>
      <w:r>
        <w:br/>
        <w:t>-Instrumenty finansowe zastosowane będą w przypadku wszystkich inwestycji. Wsparciem dotacyjnym mogą być objęte jedynie budynki:</w:t>
      </w:r>
      <w:r>
        <w:br/>
        <w:t>- komunalne</w:t>
      </w:r>
      <w:r>
        <w:br/>
        <w:t>- historyczne</w:t>
      </w:r>
      <w:r>
        <w:br/>
        <w:t>Definicja budynku komunalnego oraz budynku historycznego podana jest w Działaniu FELU.04.02 Wspieranie efektywności energetycznej w sektorze mieszkaniowym.</w:t>
      </w:r>
      <w:r>
        <w:br/>
        <w:t xml:space="preserve">- użyteczności publicznej spełniającymi kryteria warunkujące wsparcie dotacyjne. </w:t>
      </w:r>
      <w:r>
        <w:br/>
        <w:t>Jednym z kryteriów jest przyjęcie przez region POP zgodnego z art. 23 dyrektywy 2008/50/WE i dodatkowo egzekwowanie zapisów uchwał antysmogowych w regionach w których stosowne uchwały obowiązują oraz niewprowadzania do tych aktów zmian niekorzystnych z punktu widzenia ochrony powietrza, w szczególności zmian polegających na łagodzeniu ograniczeń i zakazów w zakresie eksploatacji instalacji lub odroczeniu terminów wejścia w życie tych ograniczeń i zakazów. Spełnienie ww. warunku będzie leżało w gestii władz uchwałodawczych woj. lubelskiego tj. utrzymanie w mocy programów ochrony powietrza tj. Uchwały nr XVII/292/2020 Sejmiku Województwa Lubelskiego z dnia 27 lipca 2020 r. i Uchwały nr XLIX/717/2023 Sejmiku Województwa Lubelskiego z dnia 28 czerwca 2023 r. (dla aglomeracji lubelskiej) oraz Uchwały nr XVII/291/2020 Sejmiku Województwa Lubelskiego z dnia 27 lipca 2020 r. i Uchwały nr XLIX/716/2023 Sejmiku Województwa Lubelskiego z dnia 28 czerwca 2023 r. (dla strefy lubelskiej)   (dla strefy lubelskiej) i respektowanie uchwały antysmogowej (Uchwała nr XXIII/388/2021 Sejmiku Województwa Lubelskiego z dnia 19 lutego 2021 r.). Kolejnym kryterium jest wskaźnik dochodów podatkowych gminy (wskaźnik Gg), który powinien być niższy od uśrednionej wartości dla województwa- łączne wypełnienie ww. kryteriów kwalifikuje do możliwości wsparcia dotacyjnego w Działaniu.</w:t>
      </w:r>
      <w:r>
        <w:br/>
        <w:t>Warunek dotyczący wyłączenia z obowiązku stosowania IF dla budynków wpisujących się w definicję budynku komunalnego, historycznego i budynków użyteczności publicznej gmin o wskaźniku Gg poniżej uśrednionej wartości dla województwa, należy traktować rozłącznie tj. spełnienie jednego z powyższych warunków kwalifikuję wnioskodawcę do ubiegania się o wsparcie dotacyjne.</w:t>
      </w:r>
      <w:r>
        <w:br/>
        <w:t>W przypadku zastosowania art. 58 ust. 5 rozp. ogólnego, poziom dotacji będzie uzależniony od osiągniętych efektów oszczędności energetycznej i redukcji emisji CO2 w wyniku realizacji przedsięwzięcia w stosunku do stanu wyjściowego.</w:t>
      </w:r>
      <w:r>
        <w:br/>
        <w:t>Ad.4</w:t>
      </w:r>
      <w:r>
        <w:br/>
        <w:t>-Budowa budynków pasywnych (zapotrzebowanie na ciepło EPh+W nie więcej niż 15 kWh/m2/rok) jako nowych obiektów nie może naruszać zapisów FEL 2021-2027 odnoszących się do wyłączeń i ograniczeń co do budowy niektórych typów budynków określonych w innych CS lub Umowie Partnerstwa.</w:t>
      </w:r>
      <w:r>
        <w:br/>
        <w:t>-Wykluczeniu ze wsparcia podlegają inwestycje infrastrukturalne w placówki świadczące całodobowa opiekę długoterminową w instytucjonalnych formach (w tym zakłady opiekuńczo-lecznicze oraz pielęgnacyjno-opiekuńcze, domy pomocy społecznej) oraz lecznictwo szpitalne (z wyłączeniem ambulatoryjnej opieki specjalistycznej oraz opieki jednego dnia).</w:t>
      </w:r>
      <w:r>
        <w:br/>
        <w:t>Ad.5</w:t>
      </w:r>
      <w:r>
        <w:br/>
        <w:t>-W ciepłownictwie systemowym dofinansowaniu będą podlegały projekty z wykorzystaniem OZE. W przypadku braku takiej możliwości w oparciu o niskoemisyjne, kogeneracyjne, itp. procesy przemysłowe.</w:t>
      </w:r>
      <w:r>
        <w:br/>
        <w:t>-Budowa/modernizacja systemów ciepłowniczych i chłodniczych (sieci) wraz z magazynami ciepła- inwestycje o mocy zamówionej nie więcej niż 5 MW.</w:t>
      </w:r>
      <w:r>
        <w:br/>
        <w:t>Ad.6</w:t>
      </w:r>
      <w:r>
        <w:br/>
        <w:t>-Projekty dot. energooszczędnego oświetlenia powinny być zgodne z Rozp. Parlamentu Europejskiego i Rady (UE) 2024/1781 z dnia 13 czerwca 2024 r., z uwzględnieniem art. 79.</w:t>
      </w:r>
      <w:r>
        <w:br/>
        <w:t>-W ramach tego typu projektów przewiduje się wsparcie wyłącznie poprzez IF.</w:t>
      </w:r>
      <w:r>
        <w:br/>
        <w:t>Kluczowe warunki realizacji projektów:</w:t>
      </w:r>
      <w:r>
        <w:br/>
        <w:t>1.Szczegółowe zasady kwalifikowalności wydatków określone zostaną w Regulaminie wyboru projektów.</w:t>
      </w:r>
      <w:r>
        <w:br/>
        <w:t>2.Przedsięwzięcia muszą zostać zidentyfikowane w strategii terytorialnej będącej podstawą realizacji IIT, pozytywnie zaopiniowanej pod kątem możliwości jej finansowania w ramach Programu, przez IZ.</w:t>
      </w:r>
      <w:r>
        <w:br/>
        <w:t>3.Projekty będą musiały wykazać pozytywny wpływ na środowisko, przedstawiony w formie oszczędności energii, obniżonej emisji CO2 i pyłu PM 10 oraz PM 2,5 do atmosfery, zgodnie z zapisami Dyrektywy 2008/50/WE (zmienionej Dyrektywą 2015/1480/WE), lub wzrostu wykorzystania OZE.</w:t>
      </w:r>
      <w:r>
        <w:br/>
        <w:t xml:space="preserve">4.Wsparcie w ramach Działania nie może być udzielone w zakresie, w jakim jest wykluczone w art. 1 ust. 2 - 5 Rozp. Komisji (UE) NR 651/2014 z dnia 17 czerwca 2014 r. oraz w art. 1 ust. 1 Rozp. Komisji (UE) nr 2023/2831 z dnia 13 grudnia 2023 r. </w:t>
      </w:r>
      <w:r>
        <w:br/>
        <w:t>5.Wsparcie w Działaniu jest zgodne z Wytycznymi dot. realizacji zasad równościowych w ramach funduszy unijnych na lata 2021-2027, w szczególności wsparcie jest udzielane projektom uwzględniającym koncepcję uniwersalnego projektowania.</w:t>
      </w:r>
    </w:p>
    <w:p w14:paraId="240F23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3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3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3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3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3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3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3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minimis w ramach regionalnych programów na lata 2021–2027 (Dz.U. 2024 poz. 598)</w:t>
      </w:r>
    </w:p>
    <w:p w14:paraId="240F23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3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3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3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240F23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3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3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3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3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3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3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3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240F23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3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Służby publiczne</w:t>
      </w:r>
    </w:p>
    <w:p w14:paraId="240F23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3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gmin zmarginalizowanych i tracących funkcje społeczno-gospodarcze, mieszkańcy województwa</w:t>
      </w:r>
    </w:p>
    <w:p w14:paraId="240F23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3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budynki_mieszkalne, budynki_użyteczności_publicznej, efektywność_energetyczna, emisja_gazów_cieplarnianych, inteligentne_systemy_zarządzania_energią, ocieplenie_budynku, oszczędność_energii, OZE, sieci_ciepłownicze</w:t>
      </w:r>
    </w:p>
    <w:p w14:paraId="240F23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3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3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3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240F23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240F23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240F23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WLWK-PLRO165 - Liczba nowych/zmodernizowanych punktów świetlnych</w:t>
      </w:r>
    </w:p>
    <w:p w14:paraId="240F23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3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240F23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3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240F23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240F23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240F23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240F24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240F24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240F24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240F24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WLWK-RCO123 - Lokale mieszkalne wykorzystujące kotły i systemy ciepłownicze zasilane gazem ziemnym zastępujące instalacje zasilane stałymi paliwami kopalnymi</w:t>
      </w:r>
    </w:p>
    <w:p w14:paraId="240F24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4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WLWK-PLRO022 - Powierzchnia użytkowa budynków mieszkalnych poddanych termomodernizacji</w:t>
      </w:r>
    </w:p>
    <w:p w14:paraId="240F24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4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4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WLWK-PLRR017 - Ilość wytworzonej energii cieplnej w warunkach wysokosprawnej kogeneracji</w:t>
      </w:r>
    </w:p>
    <w:p w14:paraId="240F24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240F24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WLWK-PLRR016 - Ilość wytworzonej energii elektrycznej w warunkach wysokosprawnej kogeneracji</w:t>
      </w:r>
    </w:p>
    <w:p w14:paraId="240F24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240F24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240F24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240F24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WLWK-PLRR009 - Liczba dodatkowych użytkowników podłączonych do sieci ciepłowniczej</w:t>
      </w:r>
    </w:p>
    <w:p w14:paraId="240F24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WLWK-RCR050 - Ludność odnosząca korzyści ze środków na rzecz jakości powietrza</w:t>
      </w:r>
    </w:p>
    <w:p w14:paraId="240F24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WLWK-PLRR073 - Roczne zużycie energii pierwotnej w: budynkach publicznych</w:t>
      </w:r>
    </w:p>
    <w:p w14:paraId="240F24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WLWK-PLRR072 - Roczne zużycie energii pierwotnej w: lokalach mieszkalnych</w:t>
      </w:r>
    </w:p>
    <w:p w14:paraId="240F24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4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414"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6" w:name="_Toc241668200"/>
      <w:r>
        <w:rPr>
          <w:rFonts w:ascii="Calibri" w:hAnsi="Calibri" w:cs="Calibri"/>
          <w:sz w:val="32"/>
        </w:rPr>
        <w:t>Działanie FELU.04.05 Wspieranie energooszczędności</w:t>
      </w:r>
      <w:bookmarkEnd w:id="36"/>
    </w:p>
    <w:p w14:paraId="240F24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4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240F24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4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10 597 727,00</w:t>
      </w:r>
    </w:p>
    <w:p w14:paraId="240F24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4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10 067 841,00</w:t>
      </w:r>
    </w:p>
    <w:p w14:paraId="240F24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4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043 - Budowa nowych energooszczędnych budynków, 044 - Renowacja zwiększająca efektywność energetyczną lub działania w zakresie efektywności energetycznej w odniesieniu do infrastruktury publicznej, projekty demonstracyjne i działania wspierające, 045 - Renowacja zwiększająca efektywność energetyczną lub działania w zakresie efektywności energetycznej w odniesieniu do infrastruktury publicznej, projekty demonstracyjne i działania wspierające zgodne z kryteriami efektywności energetycznej</w:t>
      </w:r>
    </w:p>
    <w:p w14:paraId="240F24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4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Budowa/rozbudowa/przebudowa energooszczędnego oświetlenia ulicznego.</w:t>
      </w:r>
      <w:r>
        <w:br/>
        <w:t>2.</w:t>
      </w:r>
      <w:r>
        <w:tab/>
        <w:t>Budowa budynków pasywnych przez sektor publiczny, mająca na celu pełnienie przez ten sektor wzorcowej roli w zakresie efektywności energetycznej.</w:t>
      </w:r>
      <w:r>
        <w:br/>
        <w:t>3.</w:t>
      </w:r>
      <w:r>
        <w:tab/>
        <w:t>Efektywne sieci ciepłownicze/chłodnicze wraz z magazynami energii (budowa/rozbudowa/ modernizacja), inwestycje do 5 MW mocy zamówionej.</w:t>
      </w:r>
      <w:r>
        <w:br/>
        <w:t>Ad. 1</w:t>
      </w:r>
      <w:r>
        <w:br/>
        <w:t>-</w:t>
      </w:r>
      <w:r>
        <w:tab/>
        <w:t>Projekty dotyczące energooszczędnego oświetlenia powinny być zgodne z Rozp. Parlamentu Europejskiego i Rady (UE) 2024/1781 z dnia 13 czerwca 2024 r., z uwzględnieniem art. 79.</w:t>
      </w:r>
      <w:r>
        <w:br/>
        <w:t>-</w:t>
      </w:r>
      <w:r>
        <w:tab/>
        <w:t>W ramach tego typu projektów przewiduje się wsparcie wyłącznie poprzez instrumenty finansowe.</w:t>
      </w:r>
      <w:r>
        <w:br/>
        <w:t>Ad.2</w:t>
      </w:r>
      <w:r>
        <w:br/>
        <w:t>-</w:t>
      </w:r>
      <w:r>
        <w:tab/>
        <w:t>Budowa budynków pasywnych (zapotrzebowanie na ciepło EPh+W nie więcej niż 15 kWh/m2/rok) jako nowych obiektów nie może naruszać zapisów Programu FEL 2021-2027 odnoszących się do wyłączeń i ograniczeń co do budowy niektórych typów budynków określonych w innych celach szczegółowych lub Umowie Partnerstwa.</w:t>
      </w:r>
      <w:r>
        <w:br/>
        <w:t>-</w:t>
      </w:r>
      <w:r>
        <w:tab/>
        <w:t>Wykluczeniu ze wsparcia podlegają inwestycje infrastrukturalne w placówki świadczące całodobowa opiekę długoterminowa w instytucjonalnych formach (w tym zakłady opiekuńczo-lecznicze oraz zakłady pielęgnacyjno-opiekuńcze, domy pomocy społecznej) oraz lecznictwo szpitalne (z wyłączeniem ambulatoryjnej opieki specjalistycznej oraz opieki jednego dnia).</w:t>
      </w:r>
      <w:r>
        <w:br/>
        <w:t>Ad.3</w:t>
      </w:r>
      <w:r>
        <w:br/>
        <w:t>W ciepłownictwie systemowym dofinansowaniu będą podlegały projekty z wykorzystaniem OZE. W przypadku braku takiej możliwości w oparciu o niskoemisyjne, kogeneracyjne, itp. procesy przemysłowe.</w:t>
      </w:r>
      <w:r>
        <w:br/>
        <w:t>Budowa/modernizacja systemów ciepłowniczych i chłodniczych (sieci) wraz z magazynami ciepła- inwestycje o mocy zamówionej nie więcej niż 5 MW.</w:t>
      </w:r>
      <w:r>
        <w:br/>
        <w:t>Kluczowe warunki realizacji projektów:</w:t>
      </w:r>
      <w:r>
        <w:br/>
        <w:t>1.</w:t>
      </w:r>
      <w:r>
        <w:tab/>
        <w:t>Szczegółowe zasady kwalifikowalności wydatków określone zostaną w Regulaminie wyboru projektów.</w:t>
      </w:r>
      <w:r>
        <w:br/>
        <w:t>2.</w:t>
      </w:r>
      <w:r>
        <w:tab/>
        <w:t>Wszystkie projekty będą musiały wykazać pozytywny wpływ na środowisko, przedstawiony w formie oszczędności energii, obniżonej emisji CO2 i pyłu PM 10 oraz PM 2,5 do atmosfery, zgodnie z zapisami Dyrektywy 2008/50/WE (zmienionej Dyrektywą 2015/1480/WE), lub wzrostu wykorzystania OZE.</w:t>
      </w:r>
      <w:r>
        <w:br/>
        <w:t>3.</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4.</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4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4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4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4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4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4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4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4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24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4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4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4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240F24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4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4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4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4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4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4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4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4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4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wspierające biznes, Przedsiębiorstwa, Przedsiębiorstwa realizujące cele publiczne, Służby publiczne</w:t>
      </w:r>
    </w:p>
    <w:p w14:paraId="240F24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4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województwa</w:t>
      </w:r>
    </w:p>
    <w:p w14:paraId="240F24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4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budynki_pasywne, efektywność_energetyczna, emisja_gazów_cieplarnianych, modernizacja_energetyczna, OZE, redukcja_emisji_CO2, sieci_ciepłownicze, transformacja_energetyczna, zmniejszenie_emisji</w:t>
      </w:r>
    </w:p>
    <w:p w14:paraId="240F24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4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Średnie</w:t>
      </w:r>
    </w:p>
    <w:p w14:paraId="240F24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4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4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4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WLWK-PLRO020 - Długość wybudowanych sieci ciepłowniczych</w:t>
      </w:r>
    </w:p>
    <w:p w14:paraId="240F24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WLWK-PLRO021 - Długość zmodernizowanych sieci ciepłowniczych</w:t>
      </w:r>
    </w:p>
    <w:p w14:paraId="240F24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WLWK-PLRO165 - Liczba nowych/zmodernizowanych punktów świetlnych</w:t>
      </w:r>
    </w:p>
    <w:p w14:paraId="240F24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4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240F24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4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WLWK-RCO020 - Wybudowane lub zmodernizowane sieci ciepłownicze i chłodnicze</w:t>
      </w:r>
    </w:p>
    <w:p w14:paraId="240F24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PROG-FELCO05 - Liczba wybudowanych budynków z uwzględnieniem standardów budownictwa pasywnego</w:t>
      </w:r>
    </w:p>
    <w:p w14:paraId="240F24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4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240F24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240F24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WLWK-PLRR009 - Liczba dodatkowych użytkowników podłączonych do sieci ciepłowniczej</w:t>
      </w:r>
    </w:p>
    <w:p w14:paraId="240F24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WLWK-RCR050 - Ludność odnosząca korzyści ze środków na rzecz jakości powietrza</w:t>
      </w:r>
    </w:p>
    <w:p w14:paraId="240F24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4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44D"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7" w:name="_Toc241668201"/>
      <w:r>
        <w:rPr>
          <w:rFonts w:ascii="Calibri" w:hAnsi="Calibri" w:cs="Calibri"/>
          <w:sz w:val="32"/>
        </w:rPr>
        <w:t>Działanie FELU.04.06 Efektywne energetycznie przedsiębiorstwa</w:t>
      </w:r>
      <w:bookmarkEnd w:id="37"/>
    </w:p>
    <w:p w14:paraId="240F24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4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240F24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4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24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4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24 981 851,00</w:t>
      </w:r>
    </w:p>
    <w:p w14:paraId="240F24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4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23 732 758,00</w:t>
      </w:r>
    </w:p>
    <w:p w14:paraId="240F24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4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038 - Projekty w zakresie efektywności energetycznej i projekty demonstracyjne w MŚP oraz działania wspierające, 040 - Projekty w zakresie efektywności energetycznej i projekty demonstracyjne w MŚP lub w dużych przedsiębiorstwach oraz działania wspierające zgodne z kryteriami efektywności energetycznej, 046 - Wsparcie dla podmiotów, które świadczą usługi wspierające gospodarkę niskoemisyjną i odporność na zmiany klimatu, w tym działania w zakresie zwiększania świadomości</w:t>
      </w:r>
    </w:p>
    <w:p w14:paraId="240F24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4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Podnoszenie EE w przedsiębiorstwach wynikające z audytu (np. ograniczenie energochłonności, energooszczędne oświetlenie wewnętrzne i zewnętrzne, modernizacja systemu grzewczego, minimalizacja strat ciepła, obiegi zamknięte, instalacja urządzeń OZE).</w:t>
      </w:r>
      <w:r>
        <w:br/>
        <w:t>2.</w:t>
      </w:r>
      <w:r>
        <w:tab/>
        <w:t>Kompleksowa termomodernizacja budynków w przedsiębiorstwach wraz z instalacją urządzeń OZE.</w:t>
      </w:r>
      <w:r>
        <w:br/>
        <w:t>3.</w:t>
      </w:r>
      <w:r>
        <w:tab/>
        <w:t>Zastosowanie technologii odzysku energii wraz z systemem wykorzystania energii ciepła odpadowego w ramach przedsiębiorstwa.</w:t>
      </w:r>
      <w:r>
        <w:br/>
        <w:t>4.</w:t>
      </w:r>
      <w:r>
        <w:tab/>
        <w:t>Zastosowanie technologii efektywnych energetycznie w procesach wytwórczych w przedsiębiorstwach, w tym przebudowa lub wymiana instalacji technologicznych oraz ciągów transportowych linii produkcyjnych.</w:t>
      </w:r>
      <w:r>
        <w:br/>
        <w:t>5.</w:t>
      </w:r>
      <w:r>
        <w:tab/>
        <w:t>Przebudowa/wymiana nieefektywnych źródeł ciepła opartych o paliwa stałe, w tym zastosowanie systemów grzewczych opartych na niskoemisyjnych źródłach energii/OZE wraz z przyłączami budynków do sieci gazowej i miejskiej sieci ciepłowniczej połączona z termomodernizacją budynków, z wyłączeniem inwestycji w budownictwie jednorodzinnym.</w:t>
      </w:r>
      <w:r>
        <w:br/>
        <w:t>W ramach 2 typu projektu możliwa będzie kompleksowa termomodernizacja budynku przedsiębiorstwa wraz z instalacją urządzeń OZE. Przeprowadzone działania przyczynią się do zmniejszenia zużycia energii elektrycznej oraz cieplnej w przedsiębiorstwach, obniżenia emisyjności przemysłu, a także dywersyfikacji źródeł wytwarzania energii w miksie energetycznym regionu.</w:t>
      </w:r>
      <w:r>
        <w:br/>
        <w:t>W zakresie 3 typu projektu możliwe będzie zastosowanie technologii odzysku energii wraz z systemem wykorzystania ciepła odpadowego powstającego w procesach przemysłowych.</w:t>
      </w:r>
      <w:r>
        <w:br/>
        <w:t>Kluczowe warunki realizacji projektów:</w:t>
      </w:r>
      <w:r>
        <w:br/>
        <w:t>1.</w:t>
      </w:r>
      <w:r>
        <w:tab/>
        <w:t>Ostatecznymi odbiorcami w ramach instrumentów finansowych będą wyłącznie mikro i małe przedsiębiorstwa oraz spółki prawa handlowego w których większość udziałów lub akcji posiadają JST lub ich związki.</w:t>
      </w:r>
      <w:r>
        <w:br/>
        <w:t>2.</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3.</w:t>
      </w:r>
      <w:r>
        <w:tab/>
        <w:t>Wszystkie projekty będą musiały wykazać wyraźny pozytywny wpływ na środowisko, przedstawiony w formie oszczędności energii, obniżonej emisji CO2, pyłu PM 10 oraz PM 2,5 do atmosfery zgodnie z zapisami Dyrektywy 2008/50/WE (zmienionej Dyrektywą 2015/1480/WE) lub wzrostu wykorzystania OZE.</w:t>
      </w:r>
      <w:r>
        <w:br/>
        <w:t>4.</w:t>
      </w:r>
      <w:r>
        <w:tab/>
        <w:t>Oszczędność energii pierwotnej musi kształtować się na poziomie nie niższym niż 30% (wyjątek stanowią budynki wpisane do rejestru zabytków lub podlegające ochronie konserwatorskiej).</w:t>
      </w:r>
      <w:r>
        <w:br/>
        <w:t>5.</w:t>
      </w:r>
      <w:r>
        <w:tab/>
        <w:t>W przypadku termomodernizacji budynków na obszarze występowania gatunków chronionych wymaganym będzie posiadanie ekspertyzy ornitologicznej/chiropterologicznej.</w:t>
      </w:r>
      <w:r>
        <w:br/>
        <w:t>6.</w:t>
      </w:r>
      <w:r>
        <w:tab/>
        <w:t>Projekty dotyczące energooszczędnego oświetlenia powinny być zgodne z Dyrektywą 2009/125//UE, zmienioną dyrektywą w sprawie efektywności energetycznej.</w:t>
      </w:r>
      <w:r>
        <w:br/>
        <w:t>7.</w:t>
      </w:r>
      <w:r>
        <w:tab/>
        <w:t>Premiowane będą projekty wykazujące największą efektywność kosztową w powiązaniu z efektami oszczędnościowymi oraz redukcją emisji gazów cieplarnianych oraz realizowane na obszarach o największych stężeniach pyłowych.</w:t>
      </w:r>
      <w:r>
        <w:br/>
        <w:t>8.</w:t>
      </w:r>
      <w:r>
        <w:tab/>
        <w:t>W ramach projektów dotyczących wymiany źródła ciepła możliwa będzie wymiana tylko pieców/kotłów węglowych na instalacje zasilane OZE lub na piece gazowe wyłącznie jako hybrydowe systemy ogrzewania o znacznym udziale energii ze źródeł odnawialnych, takich jak połączenie kotła z energią słoneczną termiczną lub pompą ciepła, według hierarchii: 1. OZE, 2. Piece gazowe jako hybrydowe systemy ogrzewania. To rozwiązanie będzie stosowane w przypadku braku możliwości technicznej lub opłacalności ekonomicznej przyłączenia do sieci ciepłowniczej.</w:t>
      </w:r>
      <w:r>
        <w:br/>
        <w:t>9.</w:t>
      </w:r>
      <w:r>
        <w:tab/>
        <w:t>Wszystkie planowane działania w odniesieniu do budynków, urządzeń technicznych lub instalacji i procesów technologicznych powinny wynikać ze zidentyfikowanych potrzeb wskazanych w audycie energetycznym (stanowiący obligatoryjny element projektu).</w:t>
      </w:r>
      <w:r>
        <w:br/>
        <w:t>10.</w:t>
      </w:r>
      <w:r>
        <w:tab/>
        <w:t>Dodatkowe koszty, niewynikające z audytu energetycznego, mogą zostać uznane za kwalifikowalne pod warunkiem, że przyczyniają się do kompleksowej realizacji szerszych celów Europejskiego Zielonego Ładu, w tym strategii na rzecz Fali renowacji i stanowią jedynie dodatkowy element projektu o wartości maks. 15% kosztów kwalifikowalnych.</w:t>
      </w:r>
      <w:r>
        <w:br/>
        <w:t>11.</w:t>
      </w:r>
      <w:r>
        <w:tab/>
        <w:t>Działania dotyczące poprawy efektywności energetycznej mają opierać się o założenia wynikające z Dyrektywy 2023/1791 z dnia 13 września 2023 r. w sprawie efektywności energetycznej oraz zmieniającą rozporządzenie (UE) 2023/955. W przypadku realizacji projektów dotyczących głębokiej termomodernizacji konieczne będzie spełnienie warunków, w związku ze zmianami dotyczącymi opomiarowania i informacji o rozliczeniach.</w:t>
      </w:r>
      <w:r>
        <w:br/>
        <w:t>12.</w:t>
      </w:r>
      <w:r>
        <w:tab/>
        <w:t>Wsparcie w ramach Działania jest zgodne z Wytycznymi dotyczącymi realizacji zasad równościowych w ramach funduszy unijnych na lata 2021-2027.</w:t>
      </w:r>
    </w:p>
    <w:p w14:paraId="240F24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4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4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4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4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4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4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4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minimis w ramach regionalnych programów na lata 2021–2027 (Dz.U. 2024 poz. 598)</w:t>
      </w:r>
    </w:p>
    <w:p w14:paraId="240F24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4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40F24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4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dotacje w ramach operacji instrumentu finansowego, Wsparcie poprzez instrumenty finansowe: pożyczka</w:t>
      </w:r>
    </w:p>
    <w:p w14:paraId="240F24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4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4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4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nieobjętej pomocą publiczną: zgodnie z Regulaminem wyboru projektów, jednakże nie mniej niż 5%; Projekty w części objętej pomocą publiczną: zgodnie z programami pomocy publicznej</w:t>
      </w:r>
    </w:p>
    <w:p w14:paraId="240F24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4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4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4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4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4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w:t>
      </w:r>
    </w:p>
    <w:p w14:paraId="240F24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4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regionu korzystający z rezultatów projektu, osoby fizyczne</w:t>
      </w:r>
    </w:p>
    <w:p w14:paraId="240F24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4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efektywność_energetyczna, emisja_gazów_cieplarnianych, instalacja_grzewcza, modernizacja_energetyczna, odzysk_ciepła, oszczędność_energii, redukcja_emisji_CO2, redukcja_emisji_pyłów, rekuperacja</w:t>
      </w:r>
    </w:p>
    <w:p w14:paraId="240F24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4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4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4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240F24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240F24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4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4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24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24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240F24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240F24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240F24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240F24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240F24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240F24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240F24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4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240F24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240F24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240F24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240F24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240F24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WLWK-PLRR051 - Liczba przedsięwzięć proekologicznych</w:t>
      </w:r>
    </w:p>
    <w:p w14:paraId="240F24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WLWK-PLRR074 - Roczne zużycie energii pierwotnej w: przedsiębiorstwach</w:t>
      </w:r>
    </w:p>
    <w:p w14:paraId="240F24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4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240F24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48F"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8" w:name="_Toc241668202"/>
      <w:r>
        <w:rPr>
          <w:rFonts w:ascii="Calibri" w:hAnsi="Calibri" w:cs="Calibri"/>
          <w:sz w:val="32"/>
        </w:rPr>
        <w:t>Działanie FELU.04.07 Zwiększenie wykorzystania Odnawialnych Źródeł Energii</w:t>
      </w:r>
      <w:bookmarkEnd w:id="38"/>
    </w:p>
    <w:p w14:paraId="240F24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4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EFRR/FS.CP2.II - Wspieranie energii odnawialnej zgodnie z dyrektywą (UE) 2018/2001, w tym określonymi w niej kryteriami zrównoważonego rozwoju</w:t>
      </w:r>
    </w:p>
    <w:p w14:paraId="240F24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4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26 101 579,00</w:t>
      </w:r>
    </w:p>
    <w:p w14:paraId="240F24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4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24 796 500,00</w:t>
      </w:r>
    </w:p>
    <w:p w14:paraId="240F24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4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047 - Energia odnawialna: wiatrowa, 048 - Energia odnawialna: słoneczna, 049 - Energia odnawialna: biomasa, 052 - Inne rodzaje energii odnawialnej (w tym energia geotermalna)</w:t>
      </w:r>
    </w:p>
    <w:p w14:paraId="240F24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4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Budowa i rozbudowa instalacji odnawialnych źródeł energii w zakresie wytwarzania energii elektrycznej (również z magazynami energii działającymi na potrzeby danego źródła OZE oraz przyłączeniem do sieci), w tym z zapewnieniem możliwości usuwania wyrobów zawierających azbest przed dokonaniem montażu instalacji.</w:t>
      </w:r>
      <w:r>
        <w:br/>
        <w:t>2.</w:t>
      </w:r>
      <w:r>
        <w:tab/>
        <w:t>Budowa i rozbudowa instalacji odnawialnych źródeł energii w zakresie wytwarzania ciepła (również z magazynami ciepła działającymi na potrzeby danego źródła OZE).</w:t>
      </w:r>
      <w:r>
        <w:br/>
        <w:t>Ad.1</w:t>
      </w:r>
      <w:r>
        <w:br/>
        <w:t>-</w:t>
      </w:r>
      <w:r>
        <w:tab/>
        <w:t xml:space="preserve">Moce instalacji przewidziane do dofinansowania w ramach programu regionalnego w ramach energii elektrycznej: </w:t>
      </w:r>
      <w:r>
        <w:br/>
        <w:t>1.</w:t>
      </w:r>
      <w:r>
        <w:tab/>
        <w:t>biomasa: nie więcej niż 5 MWe,</w:t>
      </w:r>
      <w:r>
        <w:br/>
        <w:t>2.</w:t>
      </w:r>
      <w:r>
        <w:tab/>
        <w:t>biogaz: nie więcej niż 0,5 MWe.</w:t>
      </w:r>
      <w:r>
        <w:br/>
        <w:t>Limity mocy wskazane powyżej nie dotyczą projektów parasolowych. Pozostałe rodzaje OZE mogą być wspierane bez ograniczeń w zakresie mocy.</w:t>
      </w:r>
      <w:r>
        <w:br/>
        <w:t>-</w:t>
      </w:r>
      <w:r>
        <w:tab/>
        <w:t>Moce magazynów przewidziane do dofinansowania są nie większe niż 1 MWe, przy czym w przypadku magazynów realizowanych w ramach instalacji OZE ich moc nie powinna przekraczać sumarycznej mocy wszystkich jednostek wytwórczych wchodzących w skład tej instalacji.</w:t>
      </w:r>
      <w:r>
        <w:br/>
        <w:t>-</w:t>
      </w:r>
      <w:r>
        <w:tab/>
        <w:t>Inwestycje w elektrownie wodne ograniczone będą wyłącznie do istniejących budowli piętrzących, wyposażonych w hydroelektrownie. Wspierane będą projekty niemające negatywnego wpływu na stan lub potencjał jednolitych części wód i bez znacząco wpływu na cele obszarów sieci Natura 2000.</w:t>
      </w:r>
      <w:r>
        <w:br/>
        <w:t>Ad.2</w:t>
      </w:r>
      <w:r>
        <w:br/>
        <w:t>Moce przewidziane do dofinansowania w ramach programu regionalnego w ramach energii cieplnej:</w:t>
      </w:r>
      <w:r>
        <w:br/>
        <w:t>•</w:t>
      </w:r>
      <w:r>
        <w:tab/>
        <w:t>biomasa: nie więcej niż 5 MWth,</w:t>
      </w:r>
      <w:r>
        <w:br/>
        <w:t>•</w:t>
      </w:r>
      <w:r>
        <w:tab/>
        <w:t>biogaz: nie więcej niż 0,5 MWth.</w:t>
      </w:r>
      <w:r>
        <w:br/>
        <w:t>Limity mocy wskazane powyżej nie dotyczą projektów parasolowych. Pozostałe rodzaje OZE mogą być wspierane bez ograniczeń w zakresie mocy.</w:t>
      </w:r>
      <w:r>
        <w:br/>
        <w:t>Kluczowe warunki realizacji projektów:</w:t>
      </w:r>
      <w:r>
        <w:br/>
        <w:t>1.</w:t>
      </w:r>
      <w:r>
        <w:tab/>
        <w:t>Szczegółowe zasady kwalifikowalności wydatków określone zostaną w Regulaminie wyboru projektów.</w:t>
      </w:r>
      <w:r>
        <w:br/>
        <w:t>2.</w:t>
      </w:r>
      <w:r>
        <w:tab/>
        <w:t>Wszystkie wspierane projekty będą musiały wykazać wyraźny pozytywny wpływ na środowisko, przedstawiony w formie oszczędności energii, obniżonej emisji CO2 i pyłu PM 10 oraz PM 2,5 do atmosfery, zgodnie z zapisami Dyrektywy 2008/50/WE (zmienionej Dyrektywą 2015/1480/WE), lub wzrostu wykorzystania odnawialnych źródeł energii.</w:t>
      </w:r>
      <w:r>
        <w:br/>
        <w:t>3.</w:t>
      </w:r>
      <w:r>
        <w:tab/>
        <w:t>Kluczowe dla oceny projektów będą rozwiązania zapewniające maksymalną dyspozycyjność (wysoka efektywność i współczynnik wykorzystania, sterowalność, wykorzystanie magazynu energii) z relatywnie najniższym kosztem wytworzenia energii oraz zaspokajające lokalne potrzeby energetyczne (ciepło, energia elektryczna, transport), ale także związane z gospodarką odpadami (zgodną z hierarchią postępowania z odpadami) i wykorzystaniem miejscowego potencjału. Interwencja powinna koncentrować się na wszystkich obszarach sprzyjających tworzeniu i rozwojowi zorganizowanych form energetyki prosumenckiej.</w:t>
      </w:r>
      <w:r>
        <w:br/>
        <w:t>4.</w:t>
      </w:r>
      <w:r>
        <w:tab/>
        <w:t>Zgodnie z istniejącym potencjałem OZE w regionie priorytetowo traktowane będą projekty dotyczące wykorzystania energii słonecznej i biomasy. Koszty, które mogą być kwalifikowalne a nie są związane bezpośrednio z niniejszym celem szczegółowym, np. usuwanie wyrobów zawierających azbest, wymiana pokrywy dachowej, izolacja termiczna mogą stanowić maksymalnie 49% kosztów kwalifikowalnych projektu. Koszty związane z usuwaniem ze środowiska wyrobów zawierających azbest nie mogą przekroczyć 10% kosztów kwalifikowalnych projektu.</w:t>
      </w:r>
      <w:r>
        <w:br/>
        <w:t>5.</w:t>
      </w:r>
      <w:r>
        <w:tab/>
        <w:t>Wzmocnieniu efektów realizowanych projektów służyć będzie wdrożenie inteligentnych systemów zarządzania energią w oparciu o technologie TIK. Premiowane będą projekty wykazujące największą efektywność kosztową w powiązaniu z efektami oszczędnościowymi oraz redukcją emisji gazów cieplarnianych, a także przeciwdziałające ubóstwu energetycznemu. Preferowane będą projekty powiązane z magazynowaniem energii.</w:t>
      </w:r>
      <w:r>
        <w:br/>
        <w:t>6.</w:t>
      </w:r>
      <w:r>
        <w:tab/>
        <w:t>Projekty dotyczące wykorzystania biomasy oraz produkcji biokomponentów, biopaliw i biometanu powinny uwzględniać zasady minimalizowania ryzyka wylesiania zgodnie z dyrektywą Parlamentu Europejskiego i Rady (UE) 2018/2001 z 11 grudnia 2018 r. w sprawie promowania stosowania energii ze źródeł odnawialnych, a także powinny uwzględniać konsumpcję produktów z łańcucha dostaw niepowodujących wylesiania zgodnie z Komunikatem do Parlamentu Europejskiego, Rady, Europejskiego komitetu Ekonomiczno-Społecznego i Komitetu Regionów dotyczącego zintensyfikowania działań UE na rzecz ochrony i odtwarzania światowych lasów COM (2019) 353 final. Wytwarzanie biopaliw II i III generacji będzie zgodne z kryteriami środowiskowymi, określonymi w art. 29 Dyrektywy Parlamentu Europejskiego i Rady UE 2018/2001 z dnia 11.12.2018 r. w sprawie promowania stosowania energii ze źródeł odnawialnych.</w:t>
      </w:r>
      <w:r>
        <w:br/>
        <w:t>7.</w:t>
      </w:r>
      <w:r>
        <w:tab/>
        <w:t>Wsparcie w ramach Działania udzielane jest w formie instrumentów finansowych. Magazyny energii, koszty związane z usuwaniem wyrobów zawierających azbest, wymianą pokrywy dachowej oraz izolacją termiczną przed dokonaniem montażu instalacji finansowane będą w formie dotacji w ramach operacji instrumentu finansowego.</w:t>
      </w:r>
      <w:r>
        <w:br/>
        <w:t>8.</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9.</w:t>
      </w:r>
      <w:r>
        <w:tab/>
        <w:t>Wsparcie w ramach Działania jest zgodne z Wytycznymi dotyczącymi realizacji zasad równościowych w ramach funduszy unijnych na lata 2021-2027.</w:t>
      </w:r>
    </w:p>
    <w:p w14:paraId="240F24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4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4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4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4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4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4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4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minimis w ramach regionalnych programów na lata 2021–2027 (Dz.U. 2024 poz. 598)</w:t>
      </w:r>
    </w:p>
    <w:p w14:paraId="240F24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4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4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4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dotacje w ramach operacji instrumentu finansowego, Wsparcie poprzez instrumenty finansowe: pożyczka</w:t>
      </w:r>
    </w:p>
    <w:p w14:paraId="240F24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4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4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4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4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4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4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4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4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4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w:t>
      </w:r>
    </w:p>
    <w:p w14:paraId="240F24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4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województwa</w:t>
      </w:r>
    </w:p>
    <w:p w14:paraId="240F24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4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emisja_gazów_cieplarnianych, energia_z_OZE, odnawialne_źródła_energii, oszczędność_energii, panele_fotowoltaiczne, redukcja_emisji_CO2, sieci_ciepłownicze, sieci_elektroenergetyczne, zielona_energia</w:t>
      </w:r>
    </w:p>
    <w:p w14:paraId="240F24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4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4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4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240F24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240F24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240F24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WLWK-PLRO238 - Liczba powstałych magazynów energii elektrycznej</w:t>
      </w:r>
    </w:p>
    <w:p w14:paraId="240F24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4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WLWK-RCO097 - Liczba wspartych społeczności energetycznych działających w zakresie energii odnawialnej</w:t>
      </w:r>
    </w:p>
    <w:p w14:paraId="240F24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240F24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240F24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240F24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240F24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240F24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240F24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240F24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4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240F24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240F24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240F24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240F24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240F24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4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4CC"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9" w:name="_Toc241668203"/>
      <w:r>
        <w:rPr>
          <w:rFonts w:ascii="Calibri" w:hAnsi="Calibri" w:cs="Calibri"/>
          <w:sz w:val="32"/>
        </w:rPr>
        <w:t>Działanie FELU.04.08 Zwiększenie wykorzystania Odnawialnych Źródeł Energii w ramach Zintegrowanych Inwestycji Terytorialnych – działanie usunięte</w:t>
      </w:r>
      <w:bookmarkEnd w:id="39"/>
    </w:p>
    <w:p w14:paraId="240F24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4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EFRR/FS.CP2.II - Wspieranie energii odnawialnej zgodnie z dyrektywą (UE) 2018/2001, w tym określonymi w niej kryteriami zrównoważonego rozwoju</w:t>
      </w:r>
    </w:p>
    <w:p w14:paraId="240F24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4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0,00</w:t>
      </w:r>
    </w:p>
    <w:p w14:paraId="240F24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4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0,00</w:t>
      </w:r>
    </w:p>
    <w:p w14:paraId="240F24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4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047 - Energia odnawialna: wiatrowa, 048 - Energia odnawialna: słoneczna, 049 - Energia odnawialna: biomasa, 052 - Inne rodzaje energii odnawialnej (w tym energia geotermalna)</w:t>
      </w:r>
    </w:p>
    <w:p w14:paraId="240F24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4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Działanie nie będzie kontynuowane.</w:t>
      </w:r>
    </w:p>
    <w:p w14:paraId="240F24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4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4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4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4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4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4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4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minimis w ramach regionalnych programów na lata 2021–2027 (Dz.U. 2024 poz. 598)</w:t>
      </w:r>
    </w:p>
    <w:p w14:paraId="240F24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4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4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4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dotacje w ramach operacji instrumentu finansowego, Wsparcie poprzez instrumenty finansowe: pożyczka</w:t>
      </w:r>
    </w:p>
    <w:p w14:paraId="240F24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4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4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4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4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4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4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4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4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4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w:t>
      </w:r>
    </w:p>
    <w:p w14:paraId="240F24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4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24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4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emisja_gazów_cieplarnianych, energia_z_OZE, odnawialne_źródła_energii, oszczędność_energii, panele_fotowoltaiczne, redukcja_emisji_CO2, sieci_ciepłownicze, sieci_elektroenergetyczne, zielona_energia</w:t>
      </w:r>
    </w:p>
    <w:p w14:paraId="240F24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4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4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4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240F24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240F24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240F24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WLWK-PLRO238 - Liczba powstałych magazynów energii elektrycznej</w:t>
      </w:r>
    </w:p>
    <w:p w14:paraId="240F24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4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WLWK-RCO097 - Liczba wspartych społeczności energetycznych działających w zakresie energii odnawialnej</w:t>
      </w:r>
    </w:p>
    <w:p w14:paraId="240F24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240F24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240F24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240F24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240F24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240F24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240F25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5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240F25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5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5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240F25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240F25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240F25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240F25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240F25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5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50B"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0" w:name="_Toc241668204"/>
      <w:r>
        <w:rPr>
          <w:rFonts w:ascii="Calibri" w:hAnsi="Calibri" w:cs="Calibri"/>
          <w:sz w:val="32"/>
        </w:rPr>
        <w:t>Działanie FELU.04.09 Zwiększenie wykorzystania Odnawialnych Źródeł Energii w ramach Innych Instrumentów Terytorialnych – działanie usunięte</w:t>
      </w:r>
      <w:bookmarkEnd w:id="40"/>
    </w:p>
    <w:p w14:paraId="240F25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5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EFRR/FS.CP2.II - Wspieranie energii odnawialnej zgodnie z dyrektywą (UE) 2018/2001, w tym określonymi w niej kryteriami zrównoważonego rozwoju</w:t>
      </w:r>
    </w:p>
    <w:p w14:paraId="240F25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5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0,00</w:t>
      </w:r>
    </w:p>
    <w:p w14:paraId="240F25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5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0,00</w:t>
      </w:r>
    </w:p>
    <w:p w14:paraId="240F25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5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047 - Energia odnawialna: wiatrowa, 048 - Energia odnawialna: słoneczna, 049 - Energia odnawialna: biomasa, 052 - Inne rodzaje energii odnawialnej (w tym energia geotermalna)</w:t>
      </w:r>
    </w:p>
    <w:p w14:paraId="240F25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5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Działanie nie będzie kontynuowane.</w:t>
      </w:r>
    </w:p>
    <w:p w14:paraId="240F25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5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5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5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5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5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5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5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25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5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5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5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dotacje w ramach operacji instrumentu finansowego, Wsparcie poprzez instrumenty finansowe: pożyczka</w:t>
      </w:r>
    </w:p>
    <w:p w14:paraId="240F25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5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5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5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5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5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5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5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240F25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5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w:t>
      </w:r>
    </w:p>
    <w:p w14:paraId="240F25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5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gmin zmarginalizowanych i tracących funkcje społeczno-gospodarcze, mieszkańcy województwa</w:t>
      </w:r>
    </w:p>
    <w:p w14:paraId="240F25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5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emisja_gazów_cieplarnianych, energia_z_OZE, odnawialne_źródła_energii, oszczędność_energii, panele_fotowoltaiczne, redukcja_emisji_CO2, sieci_ciepłownicze, sieci_elektroenergetyczne, zielona_energia</w:t>
      </w:r>
    </w:p>
    <w:p w14:paraId="240F25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5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5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5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240F25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240F25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240F25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WLWK-PLRO238 - Liczba powstałych magazynów energii elektrycznej</w:t>
      </w:r>
    </w:p>
    <w:p w14:paraId="240F25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5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WLWK-RCO097 - Liczba wspartych społeczności energetycznych działających w zakresie energii odnawialnej</w:t>
      </w:r>
    </w:p>
    <w:p w14:paraId="240F25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240F25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240F25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240F25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240F25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240F25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240F25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5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240F25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5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5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240F25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240F25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240F25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240F25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240F25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5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54A"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1" w:name="_Toc241668205"/>
      <w:r>
        <w:rPr>
          <w:rFonts w:ascii="Calibri" w:hAnsi="Calibri" w:cs="Calibri"/>
          <w:sz w:val="32"/>
        </w:rPr>
        <w:t>Działanie FELU.04.10 Wykorzystanie OZE w gospodarce</w:t>
      </w:r>
      <w:bookmarkEnd w:id="41"/>
    </w:p>
    <w:p w14:paraId="240F25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5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EFRR/FS.CP2.II - Wspieranie energii odnawialnej zgodnie z dyrektywą (UE) 2018/2001, w tym określonymi w niej kryteriami zrównoważonego rozwoju</w:t>
      </w:r>
    </w:p>
    <w:p w14:paraId="240F25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5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25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5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40 017 659,00</w:t>
      </w:r>
    </w:p>
    <w:p w14:paraId="240F25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5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38 016 776,00</w:t>
      </w:r>
    </w:p>
    <w:p w14:paraId="240F25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5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047 - Energia odnawialna: wiatrowa, 048 - Energia odnawialna: słoneczna, 049 - Energia odnawialna: biomasa, 050 - Energia odnawialna: biomasa o wysokim poziomie redukcji emisji gazów cieplarnianych, 052 - Inne rodzaje energii odnawialnej (w tym energia geotermalna)</w:t>
      </w:r>
    </w:p>
    <w:p w14:paraId="240F25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5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Budowa instalacji do produkcji biopłynów i biometanu, biopaliw II i III generacji.</w:t>
      </w:r>
      <w:r>
        <w:br/>
        <w:t>2.</w:t>
      </w:r>
      <w:r>
        <w:tab/>
        <w:t>Budowa/rozbudowa/przebudowa lokalnych źródeł energii produkujących energię elektryczną i/lub ciepło/paliwa zdekarbonizowane z OZE na potrzeby lokalne, niewymagająca przesyłania jej na duże odległości w oparciu o lokalne zidentyfikowane zasoby lub wraz z infrastrukturą sieciową.</w:t>
      </w:r>
      <w:r>
        <w:br/>
        <w:t>3.</w:t>
      </w:r>
      <w:r>
        <w:tab/>
        <w:t>Budowa i rozbudowa instalacji odnawialnych źródeł energii w zakresie wytwarzania energii elektrycznej (również z magazynami energii działającymi na potrzeby danego źródła OZE oraz przyłączeniem do sieci), w tym z zapewnieniem możliwości usuwania wyrobów zawierających azbest przed dokonaniem montażu instalacji.</w:t>
      </w:r>
      <w:r>
        <w:br/>
        <w:t>4.</w:t>
      </w:r>
      <w:r>
        <w:tab/>
        <w:t>Budowa i rozbudowa instalacji odnawialnych źródeł energii w zakresie wytwarzania ciepła (również z magazynami ciepła działającymi na potrzeby danego źródła OZE).</w:t>
      </w:r>
      <w:r>
        <w:br/>
        <w:t xml:space="preserve">Ze wsparcia wykluczona jest możliwość usuwania wyrobów zawierających azbest. </w:t>
      </w:r>
      <w:r>
        <w:br/>
        <w:t>Kluczowe warunki realizacji projektów:</w:t>
      </w:r>
      <w:r>
        <w:br/>
        <w:t>1.</w:t>
      </w:r>
      <w:r>
        <w:tab/>
        <w:t>Ostatecznymi odbiorcami w ramach instrumentów finansowych będą mikro, małe i średnie przedsiębiorstwa oraz spółki prawa handlowego w których większość udziałów lub akcji posiadają JST lub ich związki oraz spółdzielnie energetyczne, podmioty działające w imieniu klastra energii, obywatelskie społeczności energetyczne działające w zakresie energii odnawialnej.</w:t>
      </w:r>
      <w:r>
        <w:br/>
        <w:t>2.</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3.</w:t>
      </w:r>
      <w:r>
        <w:tab/>
        <w:t>Maksymalna moc instalacji przewidziana do dofinansowania w ramach działania:</w:t>
      </w:r>
      <w:r>
        <w:br/>
        <w:t>Energia elektryczna:</w:t>
      </w:r>
      <w:r>
        <w:br/>
        <w:t>- biomasa: nie więcej niż 5 MWe,</w:t>
      </w:r>
      <w:r>
        <w:br/>
        <w:t>- biogaz: nie więcej niż 0,5 MWe.</w:t>
      </w:r>
      <w:r>
        <w:br/>
        <w:t>Energia cieplna:</w:t>
      </w:r>
      <w:r>
        <w:br/>
        <w:t>- biomasa: nie więcej niż 5 MWth,</w:t>
      </w:r>
      <w:r>
        <w:br/>
        <w:t>- biogaz: nie więcej niż 0,5 MWth.</w:t>
      </w:r>
      <w:r>
        <w:br/>
        <w:t xml:space="preserve">Limity mocy wskazane powyżej nie dotyczą projektów realizowanych przez klastry energii lub spółdzielnie energetyczne. Pozostałe rodzaje OZE mogą być wspierane bez ograniczeń w zakresie mocy. </w:t>
      </w:r>
      <w:r>
        <w:br/>
        <w:t xml:space="preserve">4. </w:t>
      </w:r>
      <w:r>
        <w:tab/>
        <w:t>Moce magazynów przewidziane do dofinansowania są nie większe niż 1 MWe, przy czym w przypadku magazynów realizowanych w ramach instalacji OZE ich moc nie powinna przekraczać sumarycznej mocy wszystkich jednostek wytwórczych wchodzących w skład tej instalacji (dot. energii elektrycznej).</w:t>
      </w:r>
      <w:r>
        <w:br/>
        <w:t>5.</w:t>
      </w:r>
      <w:r>
        <w:tab/>
        <w:t>Wszystkie projekty będą musiały wykazać wyraźny pozytywny wpływ na środowisko, przedstawiony w formie oszczędności energii, obniżonej emisji CO2, pyłu PM 10 oraz PM 2,5 do atmosfery zgodnie z zapisami Dyrektywy 2008/50/WE (zmienionej Dyrektywą 2015/1480/WE) lub wzrostu wykorzystania OZE.</w:t>
      </w:r>
      <w:r>
        <w:br/>
        <w:t>6.</w:t>
      </w:r>
      <w:r>
        <w:tab/>
        <w:t>Kluczowe dla oceny projektów będą rozwiązania zapewniające maksymalną dyspozycyjność (wysoka efektywność i współczynnik wykorzystania, sterowalność, wykorzystanie magazynu energii) z relatywnie najniższym kosztem wytworzenia energii oraz zaspokajające lokalne potrzeby energetyczne (ciepło, energia elektryczna, transport), ale także związane z gospodarką odpadami (zgodną z hierarchią postępowania z odpadami) i wykorzystaniem miejscowego potencjału.</w:t>
      </w:r>
      <w:r>
        <w:br/>
        <w:t>7.</w:t>
      </w:r>
      <w:r>
        <w:tab/>
        <w:t>Zgodnie z istniejącym potencjałem OZE w regionie priorytetowo traktowane będą projekty dotyczące wykorzystania energii słonecznej i biomasy.</w:t>
      </w:r>
      <w:r>
        <w:br/>
        <w:t>8.</w:t>
      </w:r>
      <w:r>
        <w:tab/>
        <w:t>Projekty dotyczące wykorzystania biomasy oraz produkcji biokomponentów, biopaliw i biometanu powinny uwzględniać zasady minimalizowania ryzyka wylesiania zgodnie z dyrektywą Parlamentu Europejskiego i Rady (UE) 2018/2001 z 11 grudnia 2018 r., a także powinny uwzględniać konsumpcję produktów z łańcucha dostaw niepowodujących wylesiania zgodnie z Komunikatem do Parlamentu Europejskiego, Rady, Europejskiego komitetu Ekonomiczno-Społecznego i Komitetu Regionów dotyczącego zintensyfikowania działań UE na rzecz ochrony i odtwarzania światowych lasów COM (2019) 353 final. Wytwarzanie biopaliw II i III generacji będzie zgodne z kryteriami środowiskowymi, określonymi w art. 29 Dyrektywy Parlamentu Europejskiego i Rady UE 2018/2001 z dnia 11.12.2018 r.</w:t>
      </w:r>
      <w:r>
        <w:br/>
        <w:t>9.</w:t>
      </w:r>
      <w:r>
        <w:tab/>
        <w:t>Inwestycje w elektrownie wodne ograniczone będą wyłącznie do istniejących budowli piętrzących, wyposażonych w hydroelektrownie. Wspierane będą projekty niemające negatywnego wpływu na stan lub potencjał jednolitych części wód i bez znaczącego wpływu na cele obszarów sieci Natura 2000.</w:t>
      </w:r>
      <w:r>
        <w:br/>
        <w:t>10.</w:t>
      </w:r>
      <w:r>
        <w:tab/>
        <w:t>Premiowane będą projekty wykazujące największą efektywność kosztową w powiązaniu z efektami oszczędnościowymi oraz redukcją emisji gazów cieplarnianych.</w:t>
      </w:r>
      <w:r>
        <w:br/>
        <w:t>11.</w:t>
      </w:r>
      <w:r>
        <w:tab/>
        <w:t>Preferowane będą projekty powiązane z magazynowaniem energii.</w:t>
      </w:r>
      <w:r>
        <w:br/>
        <w:t>12.</w:t>
      </w:r>
      <w:r>
        <w:tab/>
        <w:t>Wsparcie w ramach Działania udzielane jest w formie instrumentów finansowych. W formie dotacji finansowane będą wyłącznie magazyny energii w ramach operacji instrumentu finansowego.</w:t>
      </w:r>
      <w:r>
        <w:br/>
        <w:t>13.</w:t>
      </w:r>
      <w:r>
        <w:tab/>
        <w:t>Wsparcie w ramach Działania jest zgodne z Wytycznymi dotyczącymi realizacji zasad równościowych w ramach funduszy unijnych na lata 2021-2027.</w:t>
      </w:r>
    </w:p>
    <w:p w14:paraId="240F25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5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5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5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5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5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5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5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240F25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5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40F25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5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dotacje w ramach operacji instrumentu finansowego, Wsparcie poprzez instrumenty finansowe: pożyczka</w:t>
      </w:r>
    </w:p>
    <w:p w14:paraId="240F25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5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5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5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nieobjętej pomocą publiczną: zgodnie z Regulaminem wyboru projektów, jednakże nie mniej niż 5%; Projekty w części objętej pomocą publiczną: zgodnie z programami pomocy publicznej</w:t>
      </w:r>
    </w:p>
    <w:p w14:paraId="240F25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5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5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5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5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5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w:t>
      </w:r>
    </w:p>
    <w:p w14:paraId="240F25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5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regionu korzystający z rezultatów projektu, osoby fizyczne</w:t>
      </w:r>
    </w:p>
    <w:p w14:paraId="240F25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5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biopaliwa, czysta_energia, elektrownia_słoneczna, energetyka_rozproszona, farmy_fotowoltaiczne, fotowoltaika, magazyn_energii, odnawialne_źródła_energii, OZE, panele_fotowoltaiczne</w:t>
      </w:r>
    </w:p>
    <w:p w14:paraId="240F25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5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5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5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240F25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240F25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240F25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WLWK-PLRO238 - Liczba powstałych magazynów energii elektrycznej</w:t>
      </w:r>
    </w:p>
    <w:p w14:paraId="240F25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5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25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25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25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WLWK-RCO097 - Liczba wspartych społeczności energetycznych działających w zakresie energii odnawialnej</w:t>
      </w:r>
    </w:p>
    <w:p w14:paraId="240F25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25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240F25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240F25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240F25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240F25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240F25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240F25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5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240F25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240F25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240F25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WLWK-PLRR051 - Liczba przedsięwzięć proekologicznych</w:t>
      </w:r>
    </w:p>
    <w:p w14:paraId="240F25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5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240F25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258C"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42" w:name="_Toc241668206"/>
      <w:r>
        <w:rPr>
          <w:rFonts w:ascii="Calibri" w:hAnsi="Calibri" w:cs="Calibri"/>
          <w:i w:val="0"/>
          <w:sz w:val="32"/>
        </w:rPr>
        <w:t>Priorytet FELU.05 Zrównoważona mobilność miejska</w:t>
      </w:r>
      <w:bookmarkEnd w:id="42"/>
    </w:p>
    <w:p w14:paraId="240F25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25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25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25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25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25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CP2 -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240F25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25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25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25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129 551 168,00</w:t>
      </w:r>
    </w:p>
    <w:p w14:paraId="240F25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25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123 073 609,00</w:t>
      </w:r>
    </w:p>
    <w:p w14:paraId="240F25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25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5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59C"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3" w:name="_Toc241668207"/>
      <w:r>
        <w:rPr>
          <w:rFonts w:ascii="Calibri" w:hAnsi="Calibri" w:cs="Calibri"/>
          <w:sz w:val="32"/>
        </w:rPr>
        <w:t>Działanie FELU.05.01 Niskoemisyjny transport miejski</w:t>
      </w:r>
      <w:bookmarkEnd w:id="43"/>
    </w:p>
    <w:p w14:paraId="240F25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5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EFRR/FS.CP2.VIII - Wspieranie zrównoważonej multimodalnej mobilności miejskiej jako elementu transformacji w kierunku gospodarki zeroemisyjnej</w:t>
      </w:r>
    </w:p>
    <w:p w14:paraId="240F25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5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79 564 799,00</w:t>
      </w:r>
    </w:p>
    <w:p w14:paraId="240F25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5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75 586 559,00</w:t>
      </w:r>
    </w:p>
    <w:p w14:paraId="240F25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5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081 - Infrastruktura czystego transportu miejskiego, 082 - Tabor czystego transportu miejskiego, 083 - Infrastruktura rowerowa, 085 - Cyfryzacja transportu, gdy ma częściowo na celu redukcję emisji gazów cieplarnianych: transport miejski, 086 - Infrastruktura paliw alternatywnych</w:t>
      </w:r>
    </w:p>
    <w:p w14:paraId="240F25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5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Zakup oraz modernizacja taboru trolejbusowego i niskoemisyjnego taboru autobusowego oraz zeroemisyjnego taboru szynowego dla połączeń miejskich i podmiejskich wraz z niezbędną infrastrukturą.</w:t>
      </w:r>
      <w:r>
        <w:br/>
        <w:t>2.</w:t>
      </w:r>
      <w:r>
        <w:tab/>
        <w:t>Budowa infrastruktury ładowania i tankowania pojazdów zeroemisyjnych, spełniającej wymogi Rozporządzenia Parlamentu Europejskiego i Rady (UE) 2023/1804 oraz zapewniającej niedyskryminacyjny dostęp dla wszystkich użytkowników - jeżeli nie ma możliwości finansowania inwestycji ze źródeł prywatnych lub z pomocy zwrotnej, a inwestycja uzasadniona jest odpowiednią analizą popytu i potrzeb.</w:t>
      </w:r>
      <w:r>
        <w:br/>
        <w:t>3.</w:t>
      </w:r>
      <w:r>
        <w:tab/>
        <w:t>Budowa, rozbudowa i przebudowa infrastruktury transportu publicznego, w tym dostosowanie jej do potrzeb osób z niepełnosprawnościami.</w:t>
      </w:r>
      <w:r>
        <w:br/>
        <w:t>4.</w:t>
      </w:r>
      <w:r>
        <w:tab/>
        <w:t>Inwestycje ograniczające indywidualny ruch zmotoryzowany i zwiększające ruch pieszy i rowerowy w centrach miast i ich obszarach funkcjonalnych.</w:t>
      </w:r>
      <w:r>
        <w:br/>
        <w:t>5.</w:t>
      </w:r>
      <w:r>
        <w:tab/>
        <w:t>Inwestycje (budowa, rozbudowa i przebudowa) obejmujące systemy ITS wspierające dekarbonizację transportu i zrównoważoną mobilność, jak również rozwiązania umożliwiające integrację taryfową i wdrożenie koncepcji „Mobilność jako Usługa” (MaaS), w tym systemy biletowe i aplikacje planowania podróży.</w:t>
      </w:r>
      <w:r>
        <w:br/>
        <w:t>6.</w:t>
      </w:r>
      <w:r>
        <w:tab/>
        <w:t>Jako dodatkowy element projektu będą wpierane również działania informacyjno-promocyjne i edukacyjne promujące korzystanie z niskoemisyjnego transportu zbiorowego, transportu multimodalnego i rowerowego oraz ruchu niezmotoryzowanego, jako element szerszego projektu związanego z infrastrukturą transportową.</w:t>
      </w:r>
      <w:r>
        <w:br/>
        <w:t>Ad. 1</w:t>
      </w:r>
      <w:r>
        <w:br/>
        <w:t>W przypadku taboru autobusowego, wsparciem będą objęte pojazdy spełniające wymogi dla „ekologicznie czystych pojazdów” w rozumieniu dyrektywy 2019/1161/WE zmieniającej dyrektywę 2009/33/WE, przy czym zakup taboru innego niż bezemisyjny będzie możliwy tylko w przypadku, gdy zakup taboru bezemisyjnego nie będzie uzasadniony z przyczyn eksploatacyjnych lub technicznych.</w:t>
      </w:r>
      <w:r>
        <w:br/>
        <w:t xml:space="preserve">Ad. 2 </w:t>
      </w:r>
      <w:r>
        <w:br/>
        <w:t xml:space="preserve">Infrastruktura ładowania i tankowania powinna  spełniać wymogi Rozporządzenia Parlamentu Europejskiego i Rady (UE) 2023/1804 z dnia 13 września 2023 r. w sprawie rozwoju infrastruktury paliw alternatywnych i uchylenia dyrektywy 2014/94/UE. </w:t>
      </w:r>
      <w:r>
        <w:br/>
        <w:t xml:space="preserve">Ad. 4 </w:t>
      </w:r>
      <w:r>
        <w:br/>
        <w:t>W zakresie typu projektu możliwa jest realizacja inwestycji w zakresie infrastruktury dla ruchu niezmotoryzowanego np. strefy wolne od ruchu samochodowego, strefowe uspokojenie ruchu, drogi i pasy rowerowe, spójne sieci tras rowerowych z infrastrukturą towarzyszącą, likwidacja utrudnień i zagrożeń w ruchu pieszym i rowerowym, tworzenie możliwie bezkolizyjnych, ciągłych i bezpośrednich tras pieszych.</w:t>
      </w:r>
      <w:r>
        <w:br/>
        <w:t>Kluczowe warunki realizacji projektów:</w:t>
      </w:r>
      <w:r>
        <w:br/>
        <w:t>1.</w:t>
      </w:r>
      <w:r>
        <w:tab/>
        <w:t>Szczegółowe zasady kwalifikowalności wydatków określone zostaną w Regulaminie wyboru projektów.</w:t>
      </w:r>
      <w:r>
        <w:br/>
        <w:t>2.</w:t>
      </w:r>
      <w:r>
        <w:tab/>
        <w:t>Wszystkie wspierane projekty będą musiały wykazać wyraźny pozytywny wpływ na środowisko, przedstawiony w formie oszczędności energii, obniżonej emisji CO2 i pyłów PM 10 oraz PM 2,5 do atmosfery, zgodnie z zapisami Dyrektywy 2008/50/WE (zmienionej Dyrektywą 2015/1480/WE), lub wzrostu wykorzystania odnawialnych źródeł energii.</w:t>
      </w:r>
      <w:r>
        <w:br/>
        <w:t>3.</w:t>
      </w:r>
      <w:r>
        <w:tab/>
        <w:t>Inwestycje objęte wsparciem będą opierać się na odpowiednich Planach Zrównoważonej Mobilności Miejskiej (SUMP) lub innych dokumentach planowania mobilności przyjętych na obszarze, w którym realizowana jest inwestycja – zgodnie z właściwymi wymogami Umowy Partnerstwa. W przypadku wymogu przyjęcia SUMP, wymóg ten będzie uznany za spełniony, jeżeli plan ten: 1. będzie obejmował właściwy funkcjonalny obszar miejski (SUMP powinien obejmować MOF zgodnie z delimitacją w SRWL2030. Jeśli jest konieczna zmiana delimitacji MOF (wynikająca z SRWL2030) lub nie ma takiej delimitacji w Strategii, zarząd województwa powinien przyjąć uchwałę w sprawie zmienionej lub nowej delimitacji MOF. W przypadku, gdy obszar SUMP odbiega od wyznaczonego MOF w strategii rozwoju województwa/ przyjętego uchwałą zarządu województwa, stosowna analiza i uzasadnienie wyboru gmin właściwych w procesie powinny być uwzględnione i opisane w ramach SUMP – w tym kontekście wykazać należy: czy plan obejmuje miasto rdzeń z uwzględnieniem powiązań funkcjonalnych z innymi gminami obszaru funkcjonalnego, czy plan angażuje miasto rdzeń oraz przynajmniej jedną gmin oraz czy plan angażuje wszystkie gminy z obszaru wskazanego w delimitacji województwa); 2. będzie zgodny z wymogami SUMP określonymi we właściwym Komunikacie Komisji dotyczącym SUMP oraz rozporządzeniu UE w sprawie sieci TEN-T; 3. będzie przyjęty przez organ właściwy terytorialnie oraz rzeczowo, w formie zapewniającej praktyczną realizację postanowień SUMP. W SUMP należy uwzględnić wskaźniki dotyczące: poprawy jakości powietrza i ograniczania emisji CO2 oraz dostępności transportu i bezpieczeństwa ruchu drogowego.</w:t>
      </w:r>
      <w:r>
        <w:br/>
        <w:t>4.</w:t>
      </w:r>
      <w:r>
        <w:tab/>
        <w:t>Preferowane będą projekty wynikające ze strategii terytorialnych opracowanych przez partnerstwa JST w celu wdrażania Innego Instrumentu Terytorialnego (strategii rozwoju ponadlokalnego lub strategii IIT).</w:t>
      </w:r>
      <w:r>
        <w:br/>
        <w:t>5.</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6.</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7. W ramach Działania wspierane będą projekty realizowane w miastach wojewódzkich i pozostałych objętych wsparciem krajowym (i ich obszarach funkcjonalnych), komplementarne do wsparcia udzielanego na poziomie krajowym (FEPW), oraz w pozostałych miastach nieobjętych wsparciem krajowym.</w:t>
      </w:r>
      <w:r>
        <w:br/>
        <w:t xml:space="preserve">8. Przewidywane wsparcie z Budżetu Państwa w ramach środków określonych w Kontrakcie Programowym dla Województwa Lubelskiego. </w:t>
      </w:r>
    </w:p>
    <w:p w14:paraId="240F25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5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5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5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5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5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(UE)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 (C/2025/8820),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5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5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 Rozporządzenie Ministra Funduszy i Polityki Regionalnej z dnia 18 stycznia 2024 r. w sprawie udzielania pomocy inwestycyjnej na infrastrukturę ładowania lub tankowania, zakup pojazdów ekologicznie czystych lub bezemisyjnych oraz na doposażenie pojazdów w ramach regionalnych programów na lata 2021–2027 (Dz.U. 2024 poz. 89)</w:t>
      </w:r>
    </w:p>
    <w:p w14:paraId="240F25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5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5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5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5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5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5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5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1% - projekty współfinansowane z Budżetu Państwa; Projekty w części objętej pomocą publiczną: zgodnie z programami pomocy publicznej</w:t>
      </w:r>
    </w:p>
    <w:p w14:paraId="240F25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5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5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5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5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5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Przedsiębiorstwa realizujące cele publiczne, Służby publiczne</w:t>
      </w:r>
    </w:p>
    <w:p w14:paraId="240F25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5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miast, mieszkańcy województwa</w:t>
      </w:r>
    </w:p>
    <w:p w14:paraId="240F25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5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autobusy_niskoemisyjne, bezpieczeństwo_ruchu, czysty_transport, inteligentny_transport, jakość_życia_w_miastach, mobilność_miejska, paliwa_alternatywne, redukcja_emisji_CO2, ścieżki_rowerowe, tabor_niskoemisyjny</w:t>
      </w:r>
    </w:p>
    <w:p w14:paraId="240F25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5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240F25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5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5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5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WLWK-PLRO079 - Długość nowych linii autobusowych</w:t>
      </w:r>
    </w:p>
    <w:p w14:paraId="240F25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WLWK-PLRO080 - Długość nowych linii trolejbusowych</w:t>
      </w:r>
    </w:p>
    <w:p w14:paraId="240F25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WLWK-PLRO082 - Długość przebudowanych lub zmodernizowanych linii autobusowych</w:t>
      </w:r>
    </w:p>
    <w:p w14:paraId="240F25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WLWK-PLRO083 - Długość przebudowanych lub zmodernizowanych linii trolejbusowych</w:t>
      </w:r>
    </w:p>
    <w:p w14:paraId="240F25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240F25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WLWK-PLRO093 - Liczba doposażonych obiektów „parkuj i jedź"</w:t>
      </w:r>
    </w:p>
    <w:p w14:paraId="240F25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WLWK-PLRO094 - Liczba miejsc postojowych dla osób z niepełnosprawnościami w wybudowanych, przebudowanych lub doposażonych obiektach „parkuj i jedź”</w:t>
      </w:r>
    </w:p>
    <w:p w14:paraId="240F25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5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5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WLWK-PLRO099 - Liczba przebudowanych i rozbudowanych zintegrowanych węzłów przesiadkowych</w:t>
      </w:r>
    </w:p>
    <w:p w14:paraId="240F25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WLWK-PLRO092 - Liczba przebudowanych obiektów „parkuj i jedź"</w:t>
      </w:r>
    </w:p>
    <w:p w14:paraId="240F25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240F25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WLWK-PLRO096 - Liczba stanowisk postojowych w wybudowanych obiektach „Bike&amp;Ride”</w:t>
      </w:r>
    </w:p>
    <w:p w14:paraId="240F25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WLWK-PLRO184 - Liczba wspartych publicznych systemów wypożyczania rowerów</w:t>
      </w:r>
    </w:p>
    <w:p w14:paraId="240F25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WLWK-PLRO095 - Liczba wybudowanych obiektów „Bike&amp;Ride”</w:t>
      </w:r>
    </w:p>
    <w:p w14:paraId="240F25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WLWK-PLRO091 - Liczba wybudowanych obiektów „parkuj i jedź"</w:t>
      </w:r>
    </w:p>
    <w:p w14:paraId="240F25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WLWK-PLRO098 - Liczba wybudowanych zintegrowanych węzłów przesiadkowych</w:t>
      </w:r>
    </w:p>
    <w:p w14:paraId="240F25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WLWK-PLRO088 - Liczba zakupionych jednostek taboru autobusowego w publicznym transporcie zbiorowym komunikacji miejskiej i metropolitarnej</w:t>
      </w:r>
    </w:p>
    <w:p w14:paraId="240F25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WLWK-PLRO089 - Liczba zakupionych jednostek taboru trolejbusowego w publicznym transporcie zbiorowym komunikacji miejskiej i metropolitarnej</w:t>
      </w:r>
    </w:p>
    <w:p w14:paraId="240F25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WLWK-RCO060 - Miasta z nowymi lub zmodernizowanymi cyfrowymi systemami transportu miejskiego</w:t>
      </w:r>
    </w:p>
    <w:p w14:paraId="240F25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240F25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240F25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5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WLWK-PLRR047 - Liczba ludności korzystającej z nowych lub zmodernizowanych cyfrowych systemów transportu miejskiego</w:t>
      </w:r>
    </w:p>
    <w:p w14:paraId="240F25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WLWK-PLRR021 - Liczba pojazdów korzystających z miejsc postojowych w wybudowanych, przebudowanych lub doposażonych obiektach „parkuj i jedź”</w:t>
      </w:r>
    </w:p>
    <w:p w14:paraId="240F25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WLWK-PLRR051 - Liczba przedsięwzięć proekologicznych</w:t>
      </w:r>
    </w:p>
    <w:p w14:paraId="240F25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240F25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WLWK-RCR064 - Roczna liczba użytkowników infrastruktury rowerowej</w:t>
      </w:r>
    </w:p>
    <w:p w14:paraId="240F25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WLWK-RCR062 - Roczna liczba użytkowników nowego lub zmodernizowanego transportu publicznego</w:t>
      </w:r>
    </w:p>
    <w:p w14:paraId="240F25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5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5E5"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4" w:name="_Toc241668208"/>
      <w:r>
        <w:rPr>
          <w:rFonts w:ascii="Calibri" w:hAnsi="Calibri" w:cs="Calibri"/>
          <w:sz w:val="32"/>
        </w:rPr>
        <w:t>Działanie FELU.05.02 Niskoemisyjny transport miejski w ramach Zintegrowanych Inwestycji Terytorialnych</w:t>
      </w:r>
      <w:bookmarkEnd w:id="44"/>
    </w:p>
    <w:p w14:paraId="240F25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5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EFRR/FS.CP2.VIII - Wspieranie zrównoważonej multimodalnej mobilności miejskiej jako elementu transformacji w kierunku gospodarki zeroemisyjnej</w:t>
      </w:r>
    </w:p>
    <w:p w14:paraId="240F25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5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49 749 857,00</w:t>
      </w:r>
    </w:p>
    <w:p w14:paraId="240F25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5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47 262 364,00</w:t>
      </w:r>
    </w:p>
    <w:p w14:paraId="240F25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5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081 - Infrastruktura czystego transportu miejskiego, 082 - Tabor czystego transportu miejskiego, 083 - Infrastruktura rowerowa, 085 - Cyfryzacja transportu, gdy ma częściowo na celu redukcję emisji gazów cieplarnianych: transport miejski, 086 - Infrastruktura paliw alternatywnych</w:t>
      </w:r>
    </w:p>
    <w:p w14:paraId="240F25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5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Zakup oraz modernizacja taboru trolejbusowego i niskoemisyjnego taboru autobusowego oraz zeroemisyjnego taboru szynowego dla połączeń miejskich i podmiejskich wraz z niezbędną infrastrukturą.</w:t>
      </w:r>
      <w:r>
        <w:br/>
        <w:t>2.</w:t>
      </w:r>
      <w:r>
        <w:tab/>
        <w:t>Budowa infrastruktury ładowania i tankowania pojazdów zeroemisyjnych, spełniającej wymogi Rozporządzenia Parlamentu Europejskiego i Rady (UE) 2023/1804 oraz zapewniającej niedyskryminacyjny dostęp dla wszystkich użytkowników - jeżeli nie ma możliwości finansowania inwestycji ze źródeł prywatnych lub z pomocy zwrotnej, a inwestycja uzasadniona jest odpowiednią analizą popytu i potrzeb.</w:t>
      </w:r>
      <w:r>
        <w:br/>
        <w:t>3.</w:t>
      </w:r>
      <w:r>
        <w:tab/>
        <w:t>Budowa, rozbudowa i przebudowa infrastruktury transportu publicznego, w tym dostosowanie jej do potrzeb osób z niepełnosprawnościami.</w:t>
      </w:r>
      <w:r>
        <w:br/>
        <w:t>4.</w:t>
      </w:r>
      <w:r>
        <w:tab/>
        <w:t>Inwestycje ograniczające indywidualny ruch zmotoryzowany i zwiększające ruch pieszy i rowerowy w centrach miast i ich obszarach funkcjonalnych.</w:t>
      </w:r>
      <w:r>
        <w:br/>
        <w:t>5.</w:t>
      </w:r>
      <w:r>
        <w:tab/>
        <w:t>Inwestycje (budowa, rozbudowa i przebudowa) obejmujące systemy ITS wspierające dekarbonizację transportu i zrównoważoną mobilność, jak również rozwiązania umożliwiające integrację taryfową i wdrożenie koncepcji „Mobilność jako Usługa” (MaaS), w tym systemy biletowe i aplikacje planowania podróży.</w:t>
      </w:r>
      <w:r>
        <w:br/>
        <w:t>6.</w:t>
      </w:r>
      <w:r>
        <w:tab/>
        <w:t>Jako dodatkowy element projektu będą wpierane również działania informacyjno-promocyjne i edukacyjne promujące korzystanie z niskoemisyjnego transportu zbiorowego, transportu multimodalnego i rowerowego oraz ruchu niezmotoryzowanego, jako element szerszego projektu związanego z infrastrukturą transportową.</w:t>
      </w:r>
      <w:r>
        <w:br/>
        <w:t>Ad. 1</w:t>
      </w:r>
      <w:r>
        <w:br/>
        <w:t>W przypadku taboru autobusowego, wsparciem będą objęte pojazdy spełniające wymogi dla „ekologicznie czystych pojazdów” w rozumieniu dyrektywy 2019/1161/WE zmieniającej dyrektywę 2009/33/WE, przy czym zakup taboru innego niż bezemisyjny będzie możliwy tylko w przypadku, gdy zakup taboru bezemisyjnego nie będzie uzasadniony z przyczyn eksploatacyjnych lub technicznych.</w:t>
      </w:r>
      <w:r>
        <w:br/>
        <w:t xml:space="preserve">Ad. 2 </w:t>
      </w:r>
      <w:r>
        <w:br/>
        <w:t xml:space="preserve">Infrastruktura ładowania i tankowania powinna spełniać wymogi Rozporządzenia Parlamentu Europejskiego i Rady (UE) 2023/1804 z dnia 13 września 2023 r. w sprawie rozwoju infrastruktury paliw alternatywnych i uchylenia dyrektywy 2014/94/UE. </w:t>
      </w:r>
      <w:r>
        <w:br/>
        <w:t xml:space="preserve">Ad. 4 </w:t>
      </w:r>
      <w:r>
        <w:br/>
        <w:t>W zakresie typu projektu możliwa jest realizacja inwestycji w zakresie infrastruktury dla ruchu niezmotoryzowanego np. strefy wolne od ruchu samochodowego, strefowe uspokojenie ruchu, drogi i pasy rowerowe, spójne sieci tras rowerowych z infrastrukturą towarzyszącą, likwidacja utrudnień i zagrożeń w ruchu pieszym i rowerowym, tworzenie możliwie bezkolizyjnych, ciągłych i bezpośrednich tras pieszych.</w:t>
      </w:r>
      <w:r>
        <w:br/>
        <w:t>Kluczowe warunki realizacji projektów:</w:t>
      </w:r>
      <w:r>
        <w:br/>
        <w:t>1.</w:t>
      </w:r>
      <w:r>
        <w:tab/>
        <w:t>Szczegółowe zasady kwalifikowalności wydatków określone zostaną w Regulaminie wyboru projektów.</w:t>
      </w:r>
      <w:r>
        <w:br/>
        <w:t>2.</w:t>
      </w:r>
      <w:r>
        <w:tab/>
        <w:t xml:space="preserve"> Wszystkie wspierane projekty będą musiały wykazać wyraźny pozytywny wpływ na środowisko, przedstawiony w formie oszczędności energii, obniżonej emisji CO2 i pyłów PM 10 oraz PM 2,5 do atmosfery, zgodnie z zapisami Dyrektywy 2008/50/WE (zmienionej Dyrektywą 2015/1480/WE), lub wzrostu wykorzystania odnawialnych źródeł energii.</w:t>
      </w:r>
      <w:r>
        <w:br/>
        <w:t>3.</w:t>
      </w:r>
      <w:r>
        <w:tab/>
        <w:t>Realizowane przedsięwzięcia muszą zostać zidentyfikowane w strategii terytorialnej będącej podstawą realizacji Zintegrowanych Inwestycji Terytorialnych, pozytywnie zaopiniowanej pod kątem możliwości jej finansowania w ramach Programu, przez IZ.</w:t>
      </w:r>
      <w:r>
        <w:br/>
        <w:t>4.</w:t>
      </w:r>
      <w:r>
        <w:tab/>
        <w:t>Realizowane inwestycje muszą mieć charakter zintegrowany, tj. muszą wpisywać się w cele rozwoju obszaru funkcjonalnego objętego instrumentem i być ukierunkowane na rozwiązywanie wspólnych problemów rozwojowych – oznacza to, że projekt taki musi mieć wpływ na więcej niż 1 gminę w MOF oraz jego realizacja musi być uzasadniona zarówno w części diagnostycznej, jak i w części kierunkowej strategii. Inwestycje te muszą spełniać jeden z następujących warunków: muszą być projektem partnerskim w rozumieniu art. 39 ustawy wdrożeniowej lub deklarowany powinien być wspólny efekt, rezultat lub produkt końcowy projektu, tj. wspólne wykorzystanie stworzonej w jego ramach infrastruktury.</w:t>
      </w:r>
      <w:r>
        <w:br/>
        <w:t>5.</w:t>
      </w:r>
      <w:r>
        <w:tab/>
        <w:t>Inwestycje objęte wsparciem będą opierać się na odpowiednich Planach Zrównoważonej Mobilności Miejskiej (SUMP) lub innych dokumentach planowania mobilności przyjętych na obszarze, w którym realizowana jest inwestycja – zgodnie z właściwymi wymogami Umowy Partnerstwa. W przypadku wymogu przyjęcia SUMP, wymóg ten będzie uznany za spełniony, jeżeli plan ten: 1. będzie obejmował właściwy funkcjonalny obszar miejski (SUMP powinien obejmować MOF zgodnie z delimitacją w SRWL2030. Jeśli jest konieczna zmiana delimitacji MOF (wynikająca z SRWL2030) lub nie ma takiej delimitacji w Strategii, zarząd województwa powinien przyjąć uchwałę w sprawie zmienionej lub nowej delimitacji MOF. W przypadku, gdy obszar SUMP odbiega od wyznaczonego MOF w strategii rozwoju województwa/ przyjętego uchwałą zarządu województwa, stosowna analiza i uzasadnienie wyboru gmin właściwych w procesie powinny być uwzględnione i opisane w ramach SUMP – w tym kontekście wykazać należy: czy plan obejmuje miasto rdzeń z uwzględnieniem powiązań funkcjonalnych z innymi gminami obszaru funkcjonalnego, czy plan angażuje miasto rdzeń oraz przynajmniej jedną gmin oraz czy plan angażuje wszystkie gminy z obszaru wskazanego w delimitacji województwa); 2. będzie zgodny z wymogami SUMP określonymi we właściwym Komunikacie Komisji dotyczącym SUMP oraz rozporządzeniu UE w sprawie sieci TEN-T; 3. będzie przyjęty przez organ właściwy terytorialnie oraz rzeczowo, w formie zapewniającej praktyczną realizację postanowień SUMP. W SUMP należy uwzględnić wskaźniki dotyczące: poprawy jakości powietrza i ograniczania emisji CO2 oraz dostępności transportu i bezpieczeństwa ruchu drogowego.</w:t>
      </w:r>
      <w:r>
        <w:br/>
        <w:t>6.</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7.</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 xml:space="preserve">8. W ramach Działania wspierane będą projekty realizowane w miastach wojewódzkich i pozostałych objętych wsparciem krajowym (i ich obszarach funkcjonalnych), komplementarne do wsparcia udzielanego na poziomie krajowym (FEPW), oraz w pozostałych miastach nieobjętych wsparciem krajowym. </w:t>
      </w:r>
    </w:p>
    <w:p w14:paraId="240F25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5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5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5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5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5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(UE)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 (C/2025/8820),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5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5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 Rozporządzenie Ministra Funduszy i Polityki Regionalnej z dnia 18 stycznia 2024 r. w sprawie udzielania pomocy inwestycyjnej na infrastrukturę ładowania lub tankowania, zakup pojazdów ekologicznie czystych lub bezemisyjnych oraz na doposażenie pojazdów w ramach regionalnych programów na lata 2021–2027 (Dz.U. 2024 poz. 89)</w:t>
      </w:r>
    </w:p>
    <w:p w14:paraId="240F25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5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5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5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5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5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5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5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6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6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6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6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6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6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Przedsiębiorstwa realizujące cele publiczne, Służby publiczne, Zintegrowane Inwestycje Terytorialne (ZIT)</w:t>
      </w:r>
    </w:p>
    <w:p w14:paraId="240F26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6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26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6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autobusy_niskoemisyjne, bezpieczeństwo_ruchu, inteligentny_transport, jakość_życia_w_miastach, mobilność_miejska, paliwa_alternatywne, redukcja_emisji_CO2, ścieżki_rowerowe, tabor_niskoemisyjny, Zintegrowane_Inwestycje_Terytorialne</w:t>
      </w:r>
    </w:p>
    <w:p w14:paraId="240F26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6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240F26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6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6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6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WLWK-PLRO079 - Długość nowych linii autobusowych</w:t>
      </w:r>
    </w:p>
    <w:p w14:paraId="240F26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WLWK-PLRO080 - Długość nowych linii trolejbusowych</w:t>
      </w:r>
    </w:p>
    <w:p w14:paraId="240F26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WLWK-PLRO082 - Długość przebudowanych lub zmodernizowanych linii autobusowych</w:t>
      </w:r>
    </w:p>
    <w:p w14:paraId="240F26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WLWK-PLRO083 - Długość przebudowanych lub zmodernizowanych linii trolejbusowych</w:t>
      </w:r>
    </w:p>
    <w:p w14:paraId="240F26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240F26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WLWK-PLRO093 - Liczba doposażonych obiektów „parkuj i jedź"</w:t>
      </w:r>
    </w:p>
    <w:p w14:paraId="240F26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WLWK-PLRO094 - Liczba miejsc postojowych dla osób z niepełnosprawnościami w wybudowanych, przebudowanych lub doposażonych obiektach „parkuj i jedź”</w:t>
      </w:r>
    </w:p>
    <w:p w14:paraId="240F26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6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6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WLWK-PLRO099 - Liczba przebudowanych i rozbudowanych zintegrowanych węzłów przesiadkowych</w:t>
      </w:r>
    </w:p>
    <w:p w14:paraId="240F26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WLWK-PLRO092 - Liczba przebudowanych obiektów „parkuj i jedź"</w:t>
      </w:r>
    </w:p>
    <w:p w14:paraId="240F26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240F26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WLWK-PLRO096 - Liczba stanowisk postojowych w wybudowanych obiektach „Bike&amp;Ride”</w:t>
      </w:r>
    </w:p>
    <w:p w14:paraId="240F26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WLWK-PLRO184 - Liczba wspartych publicznych systemów wypożyczania rowerów</w:t>
      </w:r>
    </w:p>
    <w:p w14:paraId="240F26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WLWK-PLRO095 - Liczba wybudowanych obiektów „Bike&amp;Ride”</w:t>
      </w:r>
    </w:p>
    <w:p w14:paraId="240F26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WLWK-PLRO091 - Liczba wybudowanych obiektów „parkuj i jedź"</w:t>
      </w:r>
    </w:p>
    <w:p w14:paraId="240F26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WLWK-PLRO098 - Liczba wybudowanych zintegrowanych węzłów przesiadkowych</w:t>
      </w:r>
    </w:p>
    <w:p w14:paraId="240F26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WLWK-PLRO088 - Liczba zakupionych jednostek taboru autobusowego w publicznym transporcie zbiorowym komunikacji miejskiej i metropolitarnej</w:t>
      </w:r>
    </w:p>
    <w:p w14:paraId="240F26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WLWK-PLRO089 - Liczba zakupionych jednostek taboru trolejbusowego w publicznym transporcie zbiorowym komunikacji miejskiej i metropolitarnej</w:t>
      </w:r>
    </w:p>
    <w:p w14:paraId="240F26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6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WLWK-RCO060 - Miasta z nowymi lub zmodernizowanymi cyfrowymi systemami transportu miejskiego</w:t>
      </w:r>
    </w:p>
    <w:p w14:paraId="240F26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240F26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240F26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6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6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WLWK-PLRR047 - Liczba ludności korzystającej z nowych lub zmodernizowanych cyfrowych systemów transportu miejskiego</w:t>
      </w:r>
    </w:p>
    <w:p w14:paraId="240F26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WLWK-PLRR021 - Liczba pojazdów korzystających z miejsc postojowych w wybudowanych, przebudowanych lub doposażonych obiektach „parkuj i jedź”</w:t>
      </w:r>
    </w:p>
    <w:p w14:paraId="240F26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WLWK-PLRR051 - Liczba przedsięwzięć proekologicznych</w:t>
      </w:r>
    </w:p>
    <w:p w14:paraId="240F26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WLWK-RCR064 - Roczna liczba użytkowników infrastruktury rowerowej</w:t>
      </w:r>
    </w:p>
    <w:p w14:paraId="240F26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WLWK-RCR062 - Roczna liczba użytkowników nowego lub zmodernizowanego transportu publicznego</w:t>
      </w:r>
    </w:p>
    <w:p w14:paraId="240F26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40F26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62F"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5" w:name="_Toc241668209"/>
      <w:r>
        <w:rPr>
          <w:rFonts w:ascii="Calibri" w:hAnsi="Calibri" w:cs="Calibri"/>
          <w:sz w:val="32"/>
        </w:rPr>
        <w:t>Działanie FELU.05.03 Wspieranie strategii niskoemisyjnych</w:t>
      </w:r>
      <w:bookmarkEnd w:id="45"/>
    </w:p>
    <w:p w14:paraId="240F26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6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EFRR/FS.CP2.VIII - Wspieranie zrównoważonej multimodalnej mobilności miejskiej jako elementu transformacji w kierunku gospodarki zeroemisyjnej</w:t>
      </w:r>
    </w:p>
    <w:p w14:paraId="240F26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6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236 512,00</w:t>
      </w:r>
    </w:p>
    <w:p w14:paraId="240F26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6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224 686,00</w:t>
      </w:r>
    </w:p>
    <w:p w14:paraId="240F26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6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w:t>
      </w:r>
    </w:p>
    <w:p w14:paraId="240F26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6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Przygotowanie i aktualizacja Planów Zrównoważonej Mobilności Miejskiej</w:t>
      </w:r>
      <w:r>
        <w:br/>
        <w:t>opracowywanych i wdrażanych przez odpowiednie organy gmin lub umocowane do tego formy współdziałania jednostek samorządu terytorialnego.</w:t>
      </w:r>
      <w:r>
        <w:br/>
        <w:t>Kluczowe warunki realizacji projektów:</w:t>
      </w:r>
      <w:r>
        <w:br/>
        <w:t>1.</w:t>
      </w:r>
      <w:r>
        <w:tab/>
        <w:t>Szczegółowe zasady kwalifikowalności wydatków określone zostaną w Regulaminie wyboru projektów.</w:t>
      </w:r>
      <w:r>
        <w:br/>
        <w:t>2.</w:t>
      </w:r>
      <w:r>
        <w:tab/>
        <w:t>SUMP musi obejmować właściwy funkcjonalny obszar miejski, tj. SUMP powinien obejmować MOF zgodnie z delimitacją w SRWL2030. Jeśli jest konieczna zmiana delimitacji MOF (wynikająca z SRWL2030) lub nie ma takiej delimitacji w Strategii, zarząd województwa powinien przyjąć uchwałę w sprawie zmienionej lub nowej delimitacji MOF. W przypadku, gdy obszar SUMP odbiega od wyznaczonego MOF w strategii rozwoju województwa/ przyjętego uchwałą zarządu województwa, stosowna analiza i uzasadnienie wyboru gmin właściwych w procesie powinny być uwzględnione i opisane w ramach SUMP – w tym kontekście wykazać należy: czy plan obejmuje miasto rdzeń z uwzględnieniem powiązań funkcjonalnych z innymi gminami obszaru funkcjonalnego, czy plan angażuje miasto rdzeń oraz przynajmniej jedną gmin oraz czy plan angażuje wszystkie gminy z obszaru wskazanego w delimitacji województwa).</w:t>
      </w:r>
      <w:r>
        <w:br/>
        <w:t>3.</w:t>
      </w:r>
      <w:r>
        <w:tab/>
        <w:t>SUMP powinien być zgodny z wymogami określonymi we właściwym Komunikacie Komisji dotyczącym SUMP oraz rozporządzeniu UE w sprawie sieci TEN-T.</w:t>
      </w:r>
      <w:r>
        <w:br/>
        <w:t>4.</w:t>
      </w:r>
      <w:r>
        <w:tab/>
        <w:t>W SUMP należy uwzględnić wskaźniki dotyczące: poprawy jakości powietrza i ograniczania emisji CO2 oraz dostępności transportu i bezpieczeństwa ruchu drogowego.</w:t>
      </w:r>
    </w:p>
    <w:p w14:paraId="240F26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6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6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6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6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6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26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6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26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6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6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6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6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6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6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6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40F26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6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6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6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6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6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240F26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6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miast, mieszkańcy województwa, obywatele</w:t>
      </w:r>
    </w:p>
    <w:p w14:paraId="240F26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6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bezpieczeństwo_ruchu, czyste_powietrze, czysty_transport, inteligentny_transport, jakość_życia_w_miastach, mobilność_miejska, paliwa_alternatywne, redukcja_emisji_CO2, ścieżki_rowerowe, tabor_niskoemisyjny</w:t>
      </w:r>
    </w:p>
    <w:p w14:paraId="240F26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6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6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6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6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PROG-FELCO13 - Liczba opracowanych Planów Zrównoważonej Mobilności Miejskiej</w:t>
      </w:r>
    </w:p>
    <w:p w14:paraId="240F26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6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240F26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265C"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46" w:name="_Toc241668210"/>
      <w:r>
        <w:rPr>
          <w:rFonts w:ascii="Calibri" w:hAnsi="Calibri" w:cs="Calibri"/>
          <w:i w:val="0"/>
          <w:sz w:val="32"/>
        </w:rPr>
        <w:t>Priorytet FELU.06 Zrównoważony system transportu</w:t>
      </w:r>
      <w:bookmarkEnd w:id="46"/>
    </w:p>
    <w:p w14:paraId="240F26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26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26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26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26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26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CP3 - Lepiej połączona Europa dzięki zwiększeniu mobilności</w:t>
      </w:r>
    </w:p>
    <w:p w14:paraId="240F26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26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26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26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240 615 591,00</w:t>
      </w:r>
    </w:p>
    <w:p w14:paraId="240F26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26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228 584 811,00</w:t>
      </w:r>
    </w:p>
    <w:p w14:paraId="240F26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26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6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66C"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7" w:name="_Toc241668211"/>
      <w:r>
        <w:rPr>
          <w:rFonts w:ascii="Calibri" w:hAnsi="Calibri" w:cs="Calibri"/>
          <w:sz w:val="32"/>
        </w:rPr>
        <w:t>Działanie FELU.06.01 Poprawa regionalnej dostępności transportowej</w:t>
      </w:r>
      <w:bookmarkEnd w:id="47"/>
    </w:p>
    <w:p w14:paraId="240F26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6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 - Rozwój i udoskonalanie zrównoważonej, odpornej na zmiany klimatu, inteligentnej i intermodalnej mobilności na poziomie krajowym, regionalnym i lokalnym, w tym poprawę dostępu do TEN-T oraz mobilności transgranicznej</w:t>
      </w:r>
    </w:p>
    <w:p w14:paraId="240F26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6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168 502 822,00</w:t>
      </w:r>
    </w:p>
    <w:p w14:paraId="240F26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6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160 077 681,00</w:t>
      </w:r>
    </w:p>
    <w:p w14:paraId="240F26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6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083 - Infrastruktura rowerowa, 089 - Nowo wybudowane lub rozbudowane drugorzędne połączenia drogowe z siecią drogową i węzłami TEN-T, 090 - Nowo wybudowane lub rozbudowane inne krajowe, regionalne i lokalne drogi dojazdowe, 093 - Inne drogi przebudowane lub zmodernizowane (autostrady, drogi krajowe, regionalne lub lokalne), 094 - Cyfryzacja transportu: transport drogowy, 095 - Cyfryzacja transportu, gdy ma częściowo na celu redukcję emisji gazów cieplarnianych: transport drogowy</w:t>
      </w:r>
    </w:p>
    <w:p w14:paraId="240F26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6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W zakresie infrastruktury drogowej o kategorii niższej niż drogi krajowe przewiduje się inwestycje zapewniające niezbędne połączenia (poprzez budowę i przebudowę połączeń drogowych) do sieci TEN-T, przejść granicznych, terenów inwestycyjnych, terminali intermodalnych, centrów logistycznych oraz innych gałęzi zrównoważonego transportu.</w:t>
      </w:r>
      <w:r>
        <w:br/>
        <w:t>2.</w:t>
      </w:r>
      <w:r>
        <w:tab/>
        <w:t>W zakresie infrastruktury dróg wojewódzkich przewiduje się również:</w:t>
      </w:r>
      <w:r>
        <w:br/>
        <w:t>-</w:t>
      </w:r>
      <w:r>
        <w:tab/>
        <w:t>inwestycje umożliwiające wykonywanie codziennych przewozów publicznego transportu zbiorowego o charakterze użyteczności publicznej,</w:t>
      </w:r>
      <w:r>
        <w:br/>
        <w:t>-</w:t>
      </w:r>
      <w:r>
        <w:tab/>
        <w:t>budowę obwodnic,</w:t>
      </w:r>
      <w:r>
        <w:br/>
        <w:t>-</w:t>
      </w:r>
      <w:r>
        <w:tab/>
        <w:t>punktowe inwestycje zapewniające poprawę bezpieczeństwa w ruchu drogowym oraz inwestycje zwiększające bezpieczeństwo niezmotoryzowanych uczestników ruchu,</w:t>
      </w:r>
      <w:r>
        <w:br/>
        <w:t>-</w:t>
      </w:r>
      <w:r>
        <w:tab/>
        <w:t>rozwój ITS dla transportu drogowego oraz aktywnej mobilności,</w:t>
      </w:r>
      <w:r>
        <w:br/>
        <w:t>-</w:t>
      </w:r>
      <w:r>
        <w:tab/>
        <w:t>budowę infrastruktury ładowania/tankowania pojazdów spełniającej wymogi Rozporządzenia Parlamentu Europejskiego i Rady (UE) 2023/1804 oraz zapewniającej niedyskryminacyjny dostęp dla wszystkich użytkowników – jeżeli nie ma możliwości finansowania inwestycji ze źródeł prywatnych lub z pomocy zwrotnej, a inwestycja uzasadniona jest odpowiednią analizą popytu i potrzeb.</w:t>
      </w:r>
      <w:r>
        <w:br/>
        <w:t xml:space="preserve">Ad. 1, 2 </w:t>
      </w:r>
      <w:r>
        <w:br/>
        <w:t>Wsparciem będzie również objęta budowa i modernizacja infrastruktury dla ruchu niezmotoryzowanego, w tym dróg rowerowych oraz ciągów pieszo-rowerowych.</w:t>
      </w:r>
      <w:r>
        <w:br/>
        <w:t xml:space="preserve">Ad. 2 </w:t>
      </w:r>
      <w:r>
        <w:br/>
        <w:t xml:space="preserve">Infrastruktura ładowania i tankowania powinna spełniać wymogi Rozporządzenia Parlamentu Europejskiego i Rady (UE) 2023/1804 z dnia 13 września 2023 r. w sprawie rozwoju infrastruktury paliw alternatywnych i uchylenia dyrektywy 2014/94/UE. </w:t>
      </w:r>
      <w:r>
        <w:br/>
        <w:t>Kluczowe warunki realizacji projektów:</w:t>
      </w:r>
      <w:r>
        <w:br/>
        <w:t>1.</w:t>
      </w:r>
      <w:r>
        <w:tab/>
        <w:t>Szczegółowe zasady kwalifikowalności wydatków określone zostaną w Regulaminie wyboru projektów.</w:t>
      </w:r>
      <w:r>
        <w:br/>
        <w:t>2.</w:t>
      </w:r>
      <w:r>
        <w:tab/>
        <w:t>Inwestycje realizowane na obszarach miejskich będą musiały być spójne z właściwym SUMP, a jeśli przyjęcie tych planów nie jest wymagane – z innymi właściwymi dokumentami planowania mobilności miejskiej.</w:t>
      </w:r>
      <w:r>
        <w:br/>
        <w:t>3.</w:t>
      </w:r>
      <w:r>
        <w:tab/>
        <w:t>Z zastrzeżeniem obwodnic, inwestycje drogowe realizowane na obszarach miast nie będą obejmowały budowy nowych ani zwiększenia pojemności lub przepustowości istniejących dróg lub parkingów i nie będą przyczyniały się do zwiększenia natężenia ruchu samochodowego na obszarach miejskich.</w:t>
      </w:r>
      <w:r>
        <w:br/>
        <w:t>4.</w:t>
      </w:r>
      <w:r>
        <w:tab/>
        <w:t>Wszystkie projekty dotyczące budowy lub modernizacji dróg będą obejmowały dostosowanie dróg do nośności 11,5 tony/oś.</w:t>
      </w:r>
      <w:r>
        <w:br/>
        <w:t>5.</w:t>
      </w:r>
      <w:r>
        <w:tab/>
        <w:t>Wszystkie inwestycje w infrastrukturę transportową będą musiały wynikać z Programu Strategicznego Rozwoju Transportu Województwa Lubelskiego do roku 2030 (z perspektywą do 2040 roku) lub dokumentów planowania transportu na poziomie lokalnym.</w:t>
      </w:r>
      <w:r>
        <w:br/>
        <w:t>6.</w:t>
      </w:r>
      <w:r>
        <w:tab/>
        <w:t>Tam, gdzie jest to technicznie możliwe, realizowane projekty w zakresie infrastruktury drogowej będą obejmowały zapewnienie retencji i podczyszczania wód opadowych poprzez wykorzystanie zielonej i niebieskiej infrastruktury oraz rozwiązań opartych na przyrodzie.</w:t>
      </w:r>
      <w:r>
        <w:br/>
        <w:t>7.</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8.</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 xml:space="preserve">9. Przewidywane wsparcie z Budżetu Państwa w ramach środków określonych w Kontrakcie Programowym dla Województwa Lubelskiego. </w:t>
      </w:r>
    </w:p>
    <w:p w14:paraId="240F26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6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6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6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6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6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6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6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 Rozporządzenie Ministra Funduszy i Polityki Regionalnej z dnia 18 stycznia 2024 r. w sprawie udzielania pomocy inwestycyjnej na infrastrukturę ładowania lub tankowania, zakup pojazdów ekologicznie czystych lub bezemisyjnych oraz na doposażenie pojazdów w ramach regionalnych programów na lata 2021–2027 (Dz.U. 2024 poz. 89)</w:t>
      </w:r>
    </w:p>
    <w:p w14:paraId="240F26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6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6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6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6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6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6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6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1% - projekty współfinansowane z Budżetu Państwa; Projekty w części objętej pomocą publiczną: zgodnie z programami pomocy publicznej</w:t>
      </w:r>
    </w:p>
    <w:p w14:paraId="240F26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6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6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6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6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6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w:t>
      </w:r>
    </w:p>
    <w:p w14:paraId="240F26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6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województwa, turyści</w:t>
      </w:r>
    </w:p>
    <w:p w14:paraId="240F26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6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bezpieczeństwo_ruchu, dostępność, drogi_dojazdowe, drogi_gminne, drogi_powiatowe, drogi_wojewódzkie, inteligentny_transport, punkty_ładowania, ścieżki_rowerowe, zarządzanie_ruchem</w:t>
      </w:r>
    </w:p>
    <w:p w14:paraId="240F26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6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6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6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6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6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WLWK-RCO110 - Długość dróg z nowymi lub zmodernizowanymi systemami zarządzania ruchem – poza TEN-T</w:t>
      </w:r>
    </w:p>
    <w:p w14:paraId="240F26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WLWK-PLRO107 - Długość wybudowanych dróg gminnych</w:t>
      </w:r>
    </w:p>
    <w:p w14:paraId="240F26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WLWK-PLRO106 - Długość wybudowanych dróg powiatowych</w:t>
      </w:r>
    </w:p>
    <w:p w14:paraId="240F26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WLWK-PLRO105 - Długość wybudowanych dróg wojewódzkich</w:t>
      </w:r>
    </w:p>
    <w:p w14:paraId="240F26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WLWK-PLRO111 - Długość zmodernizowanych lub przebudowanych dróg gminnych</w:t>
      </w:r>
    </w:p>
    <w:p w14:paraId="240F26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WLWK-PLRO110 - Długość zmodernizowanych lub przebudowanych dróg powiatowych</w:t>
      </w:r>
    </w:p>
    <w:p w14:paraId="240F26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WLWK-PLRO109 - Długość zmodernizowanych lub przebudowanych dróg wojewódzkich</w:t>
      </w:r>
    </w:p>
    <w:p w14:paraId="240F26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6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6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WLWK-PLRO120 - Liczba wybudowanych obwodnic</w:t>
      </w:r>
    </w:p>
    <w:p w14:paraId="240F26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240F26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PROG-FELCO16 - Liczba punktów ładowania/tankowania paliw alternatywnych, zainstalowanych w ramach projektu</w:t>
      </w:r>
    </w:p>
    <w:p w14:paraId="240F26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6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WLWK-PLRR046 - Objętość paliwa wykorzystanego we wspartej infrastrukturze paliw alternatywnych</w:t>
      </w:r>
    </w:p>
    <w:p w14:paraId="240F26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WLWK-RCR056 - Oszczędność czasu dzięki udoskonalonej infrastrukturze drogowej</w:t>
      </w:r>
    </w:p>
    <w:p w14:paraId="240F26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WLWK-RCR055 - Roczna liczba użytkowników nowo wybudowanych, przebudowanych, rozbudowanych lub zmodernizowanych dróg</w:t>
      </w:r>
    </w:p>
    <w:p w14:paraId="240F26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6A7"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8" w:name="_Toc241668212"/>
      <w:r>
        <w:rPr>
          <w:rFonts w:ascii="Calibri" w:hAnsi="Calibri" w:cs="Calibri"/>
          <w:sz w:val="32"/>
        </w:rPr>
        <w:t>Działanie FELU.06.02 Kolejowy transport zbiorowy</w:t>
      </w:r>
      <w:bookmarkEnd w:id="48"/>
    </w:p>
    <w:p w14:paraId="240F26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6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 - Rozwój i udoskonalanie zrównoważonej, odpornej na zmiany klimatu, inteligentnej i intermodalnej mobilności na poziomie krajowym, regionalnym i lokalnym, w tym poprawę dostępu do TEN-T oraz mobilności transgranicznej</w:t>
      </w:r>
    </w:p>
    <w:p w14:paraId="240F26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6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36 092 338,00</w:t>
      </w:r>
    </w:p>
    <w:p w14:paraId="240F26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6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34 287 721,00</w:t>
      </w:r>
    </w:p>
    <w:p w14:paraId="240F26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6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107 - Bezemisyjny / zasilany energią elektryczną tabor kolejowy, 109 - Transport multimodalny (poza miastami)</w:t>
      </w:r>
    </w:p>
    <w:p w14:paraId="240F26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6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Zakup i modernizacja* bezemisyjnego taboru kolejowego, dostosowanego do osób o ograniczonej mobilności, wykorzystywanego do pasażerskich przewozów regionalnych o charakterze użyteczności publicznej. Przewozy te wykonywane będą przez operatorów wyłonionych zgodnie z prawem UE (w tym tzw. czwartym pakietem kolejowym). W przypadku umów zawartych po grudniu 2020 r. dofinansowanie dotyczyć będzie zakupu taboru udostępnianego operatorom wybranym w konkurencyjnej procedurze przetargowej w rozumieniu Rozporządzenia 1370/2007, z zastrzeżeniem wyjątków wskazanych w tym rozporządzeniu. Realizowane będą te projekty, w których nastąpi pełne rozliczenie korzyści wynikającej z dofinansowania inwestycji taborowej, m.in. możliwe będzie przejęcie taboru przez organizatora po cenie rynkowej bez pomocy publicznej, bądź udostępnienie taboru innym uczestnikom rynku na niedyskryminujących warunkach. Nowo zakupiony tabor będzie wyposażony w ERTMS;</w:t>
      </w:r>
      <w:r>
        <w:br/>
        <w:t>2.</w:t>
      </w:r>
      <w:r>
        <w:tab/>
        <w:t>Budowa/rozbudowa bazy utrzymaniowo-naprawczej taboru kolejowego.</w:t>
      </w:r>
      <w:r>
        <w:br/>
        <w:t>3.</w:t>
      </w:r>
      <w:r>
        <w:tab/>
        <w:t>Inwestycje w infrastrukturę kolejową zarządzaną przez samorząd terytorialny lub podległe mu jednostki.</w:t>
      </w:r>
      <w:r>
        <w:br/>
        <w:t>*Modernizacja taboru – ulepszenie, polegające na przebudowie, rozbudowie obiektu lub powodujące, iż jego wartość po zakończeniu ulepszania przewyższy pierwotną wartość użytkową mierzoną kosztami eksploatacyjnymi, wielkością emisji lub innymi miernikami. Remont główny, zmierzający do odtworzenia stanu pierwotnego, nie będzie mieścił się w katalogu możliwych do dofinansowania wydatków.</w:t>
      </w:r>
      <w:r>
        <w:br/>
        <w:t>Kluczowe warunki realizacji projektów:</w:t>
      </w:r>
      <w:r>
        <w:br/>
        <w:t>1.</w:t>
      </w:r>
      <w:r>
        <w:tab/>
        <w:t>Szczegółowe zasady kwalifikowalności wydatków określone zostaną w Regulaminie wyboru projektów.</w:t>
      </w:r>
      <w:r>
        <w:br/>
        <w:t>2.</w:t>
      </w:r>
      <w:r>
        <w:tab/>
        <w:t>Wybór projektów obejmujących inwestycje w infrastrukturę kolejową będzie dokonywany m.in. w oparciu o kryteria minimalnej częstotliwości pociągów, wielkości obsługiwanego ruchu pasażerskiego lub towarowego oraz zwiększenia punktualności i prędkości handlowej pociągów.</w:t>
      </w:r>
      <w:r>
        <w:br/>
        <w:t>3.</w:t>
      </w:r>
      <w:r>
        <w:tab/>
        <w:t>Wszystkie inwestycje w infrastrukturę transportową będą musiały wynikać z Programu Strategicznego Rozwoju Transportu Województwa Lubelskiego do roku 2030 (z perspektywą do 2040 roku) lub dokumentów planowania transportu na poziomie lokalnym.</w:t>
      </w:r>
      <w:r>
        <w:br/>
        <w:t>4.</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5.</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p>
    <w:p w14:paraId="240F26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6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6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6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6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6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6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6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240F26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6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6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6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6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6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6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6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6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6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6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6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6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6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240F26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6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województwa, turyści</w:t>
      </w:r>
    </w:p>
    <w:p w14:paraId="240F26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6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czysty_transport, dostępność, dworzec, ERTMS, ETCS, FRMCS, niska_emisja, tabor_ekologiczny, tabor_niskoemisyjny, zmniejszenie_emisji</w:t>
      </w:r>
    </w:p>
    <w:p w14:paraId="240F26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6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6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6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WLWK-PLRO229 - Budowa/przebudowa bazy utrzymaniowo-naprawczej taboru kolejowego </w:t>
      </w:r>
    </w:p>
    <w:p w14:paraId="240F26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6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WLWK-PLRO113 - Liczba zakupionych jednostek kolejowego taboru pasażerskiego</w:t>
      </w:r>
    </w:p>
    <w:p w14:paraId="240F26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WLWK-PLRO114 - Liczba zmodernizowanych jednostek kolejowego taboru pasażerskiego</w:t>
      </w:r>
    </w:p>
    <w:p w14:paraId="240F26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WLWK-RCO053 - Nowe lub zmodernizowane stacje i przystanki kolejowe</w:t>
      </w:r>
    </w:p>
    <w:p w14:paraId="240F26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WLWK-PLRO116 - Pojemność zakupionych jednostek taboru kolejowego</w:t>
      </w:r>
    </w:p>
    <w:p w14:paraId="240F26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WLWK-PLRO117 - Pojemność zmodernizowanych jednostek taboru kolejowego</w:t>
      </w:r>
    </w:p>
    <w:p w14:paraId="240F26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6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WLWK-PLRR022 - Liczba osób korzystających z zakupionego lub zmodernizowanego kolejowego taboru pasażerskiego w ciągu roku</w:t>
      </w:r>
    </w:p>
    <w:p w14:paraId="240F26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6D9"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9" w:name="_Toc241668213"/>
      <w:r>
        <w:rPr>
          <w:rFonts w:ascii="Calibri" w:hAnsi="Calibri" w:cs="Calibri"/>
          <w:sz w:val="32"/>
        </w:rPr>
        <w:t>Działanie FELU.06.03 Publiczny autobusowy transport zbiorowy</w:t>
      </w:r>
      <w:bookmarkEnd w:id="49"/>
    </w:p>
    <w:p w14:paraId="240F26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6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 - Rozwój i udoskonalanie zrównoważonej, odpornej na zmiany klimatu, inteligentnej i intermodalnej mobilności na poziomie krajowym, regionalnym i lokalnym, w tym poprawę dostępu do TEN-T oraz mobilności transgranicznej</w:t>
      </w:r>
    </w:p>
    <w:p w14:paraId="240F26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6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36 020 431,00</w:t>
      </w:r>
    </w:p>
    <w:p w14:paraId="240F26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6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34 219 409,00</w:t>
      </w:r>
    </w:p>
    <w:p w14:paraId="240F26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6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082 - Tabor czystego transportu miejskiego, 086 - Infrastruktura paliw alternatywnych, 094 - Cyfryzacja transportu: transport drogowy, 095 - Cyfryzacja transportu, gdy ma częściowo na celu redukcję emisji gazów cieplarnianych: transport drogowy</w:t>
      </w:r>
    </w:p>
    <w:p w14:paraId="240F26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6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Zakup i modernizacja taboru autobusowego wykorzystywanego w publicznym transporcie zbiorowym o charakterze użyteczności publicznej, spełniającego wymogi dla „ekologicznie czystych pojazdów” w rozumieniu dyrektywy 2019/1161 zmieniającej dyrektywę 2009/33/WE.</w:t>
      </w:r>
      <w:r>
        <w:br/>
        <w:t>2.</w:t>
      </w:r>
      <w:r>
        <w:tab/>
        <w:t>Budowa i modernizacja infrastruktury publicznego transportu zbiorowego, w tym: węzłów przesiadkowych, obiektów P+R („parkuj i jedź”), przystanków, zatok i wiat, a także infrastruktury ładowania/tankowania pojazdów bezemisyjnych wykorzystywanych w publicznym transporcie zbiorowym.</w:t>
      </w:r>
      <w:r>
        <w:br/>
        <w:t>3.</w:t>
      </w:r>
      <w:r>
        <w:tab/>
        <w:t>Rozwój systemów cyfrowych transportu publicznego i działania na rzecz taryfowej integracji transportu zbiorowego (systemy typu „wspólny bilet”).</w:t>
      </w:r>
      <w:r>
        <w:br/>
        <w:t>Ad. 2</w:t>
      </w:r>
      <w:r>
        <w:br/>
        <w:t>Wsparcie dla obiektów P+R będzie możliwe pod warunkiem zlokalizowania ich poza centrami miast, w miejscach zapewniających odpowiednią integrację z publicznym transportem zbiorowym. W przypadku inwestycji na terenach MOF, w ramach Działania wspierane będą projekty realizowane w miastach wojewódzkich i pozostałych objętych wsparciem krajowym (i ich MOF), komplementarne do wsparcia udzielanego na poziomie krajowym, oraz w pozostałych miastach/MOF nieobjętych wsparciem krajowym.</w:t>
      </w:r>
      <w:r>
        <w:br/>
        <w:t>Ad. 3</w:t>
      </w:r>
      <w:r>
        <w:br/>
        <w:t>Projekty o charakterze regionalnym oraz lokalnym, z wyłączeniem projektów systemowych.</w:t>
      </w:r>
      <w:r>
        <w:br/>
      </w:r>
      <w:r>
        <w:br/>
        <w:t>Kluczowe warunki realizacji projektów:</w:t>
      </w:r>
      <w:r>
        <w:br/>
        <w:t>1.</w:t>
      </w:r>
      <w:r>
        <w:tab/>
        <w:t>Szczegółowe zasady kwalifikowalności wydatków określone zostaną w Regulaminie wyboru projektów.</w:t>
      </w:r>
      <w:r>
        <w:br/>
        <w:t>2.</w:t>
      </w:r>
      <w:r>
        <w:tab/>
        <w:t>Wszystkie inwestycje w infrastrukturę transportową, wspierane w ramach Działania będą musiały wynikać z Programu Strategicznego Rozwoju Transportu Województwa Lubelskiego do roku 2030 (z perspektywą do 2040 roku) lub dokumentów planowania transportu na poziomie lokalnym.</w:t>
      </w:r>
      <w:r>
        <w:br/>
        <w:t>3.</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4.</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p>
    <w:p w14:paraId="240F26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6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6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6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6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6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(UE)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 (C/2025/8820),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6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6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 Rozporządzenie Ministra Funduszy i Polityki Regionalnej z dnia 18 stycznia 2024 r. w sprawie udzielania pomocy inwestycyjnej na infrastrukturę ładowania lub tankowania, zakup pojazdów ekologicznie czystych lub bezemisyjnych oraz na doposażenie pojazdów w ramach regionalnych programów na lata 2021–2027 (Dz.U. 2024 poz. 89)</w:t>
      </w:r>
    </w:p>
    <w:p w14:paraId="240F26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6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6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6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6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6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6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6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6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6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6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6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6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6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realizujące cele publiczne</w:t>
      </w:r>
    </w:p>
    <w:p w14:paraId="240F26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6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województwa, turyści</w:t>
      </w:r>
    </w:p>
    <w:p w14:paraId="240F26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6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autobusy_niskoemisyjne, czysty_transport, dostępność, e-rozkład, informacja_pasażerska, linie_autobusowe, park_and_ride, sterowanie_ruchem, systemy_biletowe, zmniejszenie_emisji</w:t>
      </w:r>
    </w:p>
    <w:p w14:paraId="240F26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6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7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7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7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7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WLWK-PLRO082 - Długość przebudowanych lub zmodernizowanych linii autobusowych</w:t>
      </w:r>
    </w:p>
    <w:p w14:paraId="240F27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240F27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WLWK-PLRO094 - Liczba miejsc postojowych dla osób z niepełnosprawnościami w wybudowanych, przebudowanych lub doposażonych obiektach „parkuj i jedź”</w:t>
      </w:r>
    </w:p>
    <w:p w14:paraId="240F27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7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WLWK-PLRO099 - Liczba przebudowanych i rozbudowanych zintegrowanych węzłów przesiadkowych</w:t>
      </w:r>
    </w:p>
    <w:p w14:paraId="240F27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WLWK-PLRO092 - Liczba przebudowanych obiektów „parkuj i jedź"</w:t>
      </w:r>
    </w:p>
    <w:p w14:paraId="240F27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WLWK-PLRO091 - Liczba wybudowanych obiektów „parkuj i jedź"</w:t>
      </w:r>
    </w:p>
    <w:p w14:paraId="240F27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WLWK-PLRO098 - Liczba wybudowanych zintegrowanych węzłów przesiadkowych</w:t>
      </w:r>
    </w:p>
    <w:p w14:paraId="240F27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240F27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PROG-FELCO16 - Liczba punktów ładowania/tankowania paliw alternatywnych, zainstalowanych w ramach projektu</w:t>
      </w:r>
    </w:p>
    <w:p w14:paraId="240F27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PROG-FELCO15 - Liczba wdrożonych systemów cyfrowych transportu publicznego</w:t>
      </w:r>
    </w:p>
    <w:p w14:paraId="240F27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7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WLWK-PLRR021 - Liczba pojazdów korzystających z miejsc postojowych w wybudowanych, przebudowanych lub doposażonych obiektach „parkuj i jedź”</w:t>
      </w:r>
    </w:p>
    <w:p w14:paraId="240F27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WLWK-PLRR046 - Objętość paliwa wykorzystanego we wspartej infrastrukturze paliw alternatywnych</w:t>
      </w:r>
    </w:p>
    <w:p w14:paraId="240F27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PROG-FELCR16 - Roczna liczba użytkowników nowego lub zmodernizowanego transportu publicznego</w:t>
      </w:r>
    </w:p>
    <w:p w14:paraId="240F27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2713"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50" w:name="_Toc241668214"/>
      <w:r>
        <w:rPr>
          <w:rFonts w:ascii="Calibri" w:hAnsi="Calibri" w:cs="Calibri"/>
          <w:i w:val="0"/>
          <w:sz w:val="32"/>
        </w:rPr>
        <w:t>Priorytet FELU.07 Lepsza dostępność do usług społecznych i zdrowotnych</w:t>
      </w:r>
      <w:bookmarkEnd w:id="50"/>
    </w:p>
    <w:p w14:paraId="240F27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27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27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27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27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27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240F27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27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27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27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243 879 038,00</w:t>
      </w:r>
    </w:p>
    <w:p w14:paraId="240F27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27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231 685 086,00</w:t>
      </w:r>
    </w:p>
    <w:p w14:paraId="240F27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27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7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723"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1" w:name="_Toc241668215"/>
      <w:r>
        <w:rPr>
          <w:rFonts w:ascii="Calibri" w:hAnsi="Calibri" w:cs="Calibri"/>
          <w:sz w:val="32"/>
        </w:rPr>
        <w:t>Działanie FELU.07.01 Infrastruktura przedszkolna</w:t>
      </w:r>
      <w:bookmarkEnd w:id="51"/>
    </w:p>
    <w:p w14:paraId="240F27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7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240F27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7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8 675 461,00</w:t>
      </w:r>
    </w:p>
    <w:p w14:paraId="240F27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7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8 241 688,00</w:t>
      </w:r>
    </w:p>
    <w:p w14:paraId="240F27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7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121 - Infrastruktura na potrzeby wczesnej edukacji i opieki nad dzieckiem</w:t>
      </w:r>
    </w:p>
    <w:p w14:paraId="240F27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7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Inwestycje w infrastrukturę edukacji przedszkolnej, w tym w szczególności na obszarach deficytowych, m. in.: budowa, rozbudowa, przebudowa, adaptacja i modernizacja obiektów na potrzeby prowadzenia działalności edukacyjnej, w tym m.in. place zabaw wraz z zapewnieniem niezbędnego wyposażenia gwarantującego wysoką jakość kształcenia.</w:t>
      </w:r>
      <w:r>
        <w:br/>
        <w:t>2.</w:t>
      </w:r>
      <w:r>
        <w:tab/>
        <w:t>Inwestycje w infrastrukturę włączającą dla osób ze specjalnymi potrzebami edukacyjnymi.</w:t>
      </w:r>
      <w:r>
        <w:br/>
        <w:t>Ad 1.</w:t>
      </w:r>
      <w:r>
        <w:br/>
        <w:t>Wsparcie dotyczyć będzie również m.in.:</w:t>
      </w:r>
      <w:r>
        <w:br/>
        <w:t>-</w:t>
      </w:r>
      <w:r>
        <w:tab/>
        <w:t>wzmocnienia potencjału w zakresie wyposażenia ICT podmiotów edukacji przedszkolnej celem świadczenia wysokiej jakości usług edukacyjnych (w tym w zakresie zdalnego nauczania) oraz dostosowania oferty edukacyjnej do szybko zmieniających się technologii i trendów na rynku pracy (wyłącznie jako element projektu).</w:t>
      </w:r>
      <w:r>
        <w:br/>
        <w:t>Kluczowe warunki realizacji projektów:</w:t>
      </w:r>
      <w:r>
        <w:br/>
        <w:t>1.</w:t>
      </w:r>
      <w:r>
        <w:tab/>
        <w:t>Szczegółowe zasady kwalifikowalności wydatków określone zostaną w Regulaminie wyboru projektów.</w:t>
      </w:r>
      <w:r>
        <w:br/>
        <w:t>2.</w:t>
      </w:r>
      <w:r>
        <w:tab/>
        <w:t>Warunkiem udzielenia wsparcia jest zgodność projektu z „Mapą potrzeb w zakresie infrastruktury edukacyjnej i społecznej w województwie lubelskim”.</w:t>
      </w:r>
      <w:r>
        <w:br/>
        <w:t>3.</w:t>
      </w:r>
      <w:r>
        <w:tab/>
        <w:t>Szkoły specjalne i inne placówki prowadzące do segregacji lub utrzymania segregacji jakiejkolwiek grupy defaworyzowanej i/lub zagrożonej wykluczeniem społecznym nie będą wspierane w zakresie infrastruktury i wyposażenia.</w:t>
      </w:r>
      <w:r>
        <w:br/>
        <w:t>4.</w:t>
      </w:r>
      <w:r>
        <w:tab/>
        <w:t>Wszystkie inwestycje w infrastrukturę i rozwój usług edukacyjnych muszą być zgodne z wymogami Konwencji ONZ o Prawach Osób Niepełnosprawnych, w tym Komentarzem Ogólnym nr 4.</w:t>
      </w:r>
      <w:r>
        <w:br/>
        <w:t>5.</w:t>
      </w:r>
      <w:r>
        <w:tab/>
        <w:t>Wspierane działania muszą być zgodne z zasadą uniwersalnego projektowania.</w:t>
      </w:r>
      <w:r>
        <w:br/>
        <w:t>6.</w:t>
      </w:r>
      <w:r>
        <w:tab/>
        <w:t>Wsparcie infrastrukturalne ze środków EFRR w ramach Działania co do zasady może zostać skierowane na finansowane projektów realizowanych w oparciu o istniejącą bazę lokalową. W wyjątkowych sytuacjach, w przypadku braku możliwości adaptacji istniejących budynków możliwa będzie budowa nowych obiektów lub rozbudowa istniejących związanych bezpośrednio z prowadzeniem działalności edukacyjnej w deficytowych obszarach. W takich przypadkach wnioskodawca będzie musiał przedstawić szerokie uzasadnienie wskazujące, że zaproponowane rozwiązania stanowią element strategicznego podejścia do obszaru edukacji przedszkolnej na terenie danej jednostki samorządu terytorialnego i uwzględniają uwarunkowania demograficzne. Drugi wyjątek od powyższej zasady dotyczy odtworzenia zabudowy zdegradowanej w stopniu uniemożliwiającym jej regenerację/renowację (zastąpienie starego budynku nowym). W takim przypadku, wnioskodawca zobowiązany będzie do przedstawienia wiarygodnych analiz potwierdzających, iż stopień zdegradowania budynku uniemożliwia jego regenerację/renowację, w tym analiz potwierdzających efektywność kosztową takiego rozwiązania. Za wiarygodną analizę uznana będzie ekspertyza techniczna wykonana przez osobę posiadającą tytuł rzeczoznawcy budowlanego nadany przez właściwy organ samorządu zawodowego.</w:t>
      </w:r>
      <w:r>
        <w:br/>
        <w:t>7.</w:t>
      </w:r>
      <w:r>
        <w:tab/>
        <w:t>Koniecznym warunkiem realizacji inwestycji w ramach Działania jest posiadanie przez wnioskodawcę jasnej wizji, w tym diagnozy potrzeb i deficytów w obszarze interwencji z uwzględnieniem analizy pod kątem trendów demograficznych i kompleksowych planów wykorzystania powstałej infrastruktury. Przedmiotowa analiza musi wykazywać zgodność z „Mapą potrzeb w zakresie infrastruktury edukacyjnej i społecznej w województwie lubelskim”.</w:t>
      </w:r>
      <w:r>
        <w:br/>
        <w:t>8.</w:t>
      </w:r>
      <w:r>
        <w:tab/>
        <w:t>Wsparcie infrastruktury sportowej będzie możliwe, o ile wynika to z analizy potrzeb, jest powiązane z celami EFS+ i wspiera rozwój działań integracyjnych, włączających, w ramach walki z wykluczeniem społecznym. W przypadku przedszkoli, możliwe będzie wsparcie infrastruktury sportowej typu boisko, urządzenia sprawnościowe dla dzieci, wyposażenie sali sportowej.</w:t>
      </w:r>
      <w:r>
        <w:br/>
        <w:t>9.</w:t>
      </w:r>
      <w:r>
        <w:tab/>
        <w:t>Preferowane będą projekty realizowane na obszarach wiejskich, na terenie miast średnich tracących funkcje społeczno-gospodarcze oraz na obszarach zagrożonych trwałą marginalizacją.</w:t>
      </w:r>
      <w:r>
        <w:br/>
        <w:t>10.</w:t>
      </w:r>
      <w:r>
        <w:tab/>
        <w:t>Preferowane będą projekty wynikające ze strategii terytorialnych opracowanych przez partnerstwa JST w celu wdrażania Innego Instrumentu Terytorialnego (strategii rozwoju ponadlokalnego lub strategii IIT).</w:t>
      </w:r>
      <w:r>
        <w:br/>
        <w:t>11.</w:t>
      </w:r>
      <w:r>
        <w:tab/>
        <w:t>Preferowane będą projekty wynikające z Gminnych Programów Rewitalizacji</w:t>
      </w:r>
      <w:r>
        <w:br/>
        <w:t>12.</w:t>
      </w:r>
      <w:r>
        <w:tab/>
        <w:t>Premiowana będzie komplementarność wsparcia, w tym z EFS+.</w:t>
      </w:r>
      <w:r>
        <w:br/>
        <w:t>13.</w:t>
      </w:r>
      <w:r>
        <w:tab/>
        <w:t>W ramach Działania przewidziano wsparcie działań społecznych obejmujących m.in. działania ukierunkowane na rozwój potencjału ludzkiego w zakresie podnoszenia kwalifikacji i kompetencji, w tym m.in. podnoszenia kompetencji dot. zielonej transformacji oraz cyfrowych uczniów i nauczycieli. Wartość niniejszych zadań nie może przekroczyć 15% współfinansowania unijnego projektu.</w:t>
      </w:r>
      <w:r>
        <w:br/>
        <w:t>14.</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15.</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7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7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7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7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7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7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7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7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27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7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7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7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7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7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7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7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7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7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7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7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7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7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w:t>
      </w:r>
    </w:p>
    <w:p w14:paraId="240F27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7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województwa, ośrodki wychowania przedszkolnego, podmioty gospodarcze i instytucje korzystające z rezultatów projektu</w:t>
      </w:r>
    </w:p>
    <w:p w14:paraId="240F27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7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infrastruktura_edukacji_przedszkolnej, wychowanie_przedszkolne</w:t>
      </w:r>
    </w:p>
    <w:p w14:paraId="240F27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7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7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7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WLWK-PLRO124 - Liczba doposażonych przedszkoli</w:t>
      </w:r>
    </w:p>
    <w:p w14:paraId="240F27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7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7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WLWK-PLRO123 - Liczba przebudowanych lub rozbudowanych przedszkoli</w:t>
      </w:r>
    </w:p>
    <w:p w14:paraId="240F27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WLWK-PLRO122 - Liczba wybudowanych przedszkoli</w:t>
      </w:r>
    </w:p>
    <w:p w14:paraId="240F27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WLWK-RCO066 - Pojemność klas w nowych lub zmodernizowanych placówkach opieki nad dziećmi</w:t>
      </w:r>
    </w:p>
    <w:p w14:paraId="240F27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7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WLWK-RCR070 - Roczna liczba użytkowników nowych lub zmodernizowanych placówek opieki nad dziećmi</w:t>
      </w:r>
    </w:p>
    <w:p w14:paraId="240F27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PROG-FELCR09 - Liczba osób z niepełnosprawnościami korzystających ze wspartych dostosowanych obiektów</w:t>
      </w:r>
    </w:p>
    <w:p w14:paraId="240F27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755"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2" w:name="_Toc241668216"/>
      <w:r>
        <w:rPr>
          <w:rFonts w:ascii="Calibri" w:hAnsi="Calibri" w:cs="Calibri"/>
          <w:sz w:val="32"/>
        </w:rPr>
        <w:t>Działanie FELU.07.02 Infrastruktura edukacji ogólnej</w:t>
      </w:r>
      <w:bookmarkEnd w:id="52"/>
    </w:p>
    <w:p w14:paraId="240F27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7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240F27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7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2 463 456,00</w:t>
      </w:r>
    </w:p>
    <w:p w14:paraId="240F27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7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2 340 283,00</w:t>
      </w:r>
    </w:p>
    <w:p w14:paraId="240F27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7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122 - Infrastruktura na potrzeby szkolnictwa podstawowego i średniego</w:t>
      </w:r>
    </w:p>
    <w:p w14:paraId="240F27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7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Inwestycje w infrastrukturę włączającą dla osób ze specjalnymi potrzebami edukacyjnymi.</w:t>
      </w:r>
      <w:r>
        <w:br/>
        <w:t>2.</w:t>
      </w:r>
      <w:r>
        <w:tab/>
        <w:t>Adaptacja pracowni symulujących rzeczywiste warunki pracy do potrzeb osób ze specjalnymi potrzebami w szkołach/placówkach ogólnodostępnych.</w:t>
      </w:r>
      <w:r>
        <w:br/>
        <w:t>Kluczowe warunki realizacji projektów:</w:t>
      </w:r>
      <w:r>
        <w:br/>
        <w:t>1.</w:t>
      </w:r>
      <w:r>
        <w:tab/>
        <w:t>Szczegółowe zasady kwalifikowalności wydatków określone zostaną w Regulaminie wyboru projektów.</w:t>
      </w:r>
      <w:r>
        <w:br/>
        <w:t>2.</w:t>
      </w:r>
      <w:r>
        <w:tab/>
        <w:t>Warunkiem udzielenia wsparcia jest zgodność projektu z „Mapą potrzeb w zakresie infrastruktury edukacyjnej i społecznej w województwie lubelskim”.</w:t>
      </w:r>
      <w:r>
        <w:br/>
        <w:t>3.</w:t>
      </w:r>
      <w:r>
        <w:tab/>
        <w:t>Szkoły specjalne i inne placówki prowadzące do segregacji lub utrzymania segregacji jakiejkolwiek grupy defaworyzowanej i/lub zagrożonej wykluczeniem społecznym nie będą wspierane w zakresie infrastruktury i wyposażenia.</w:t>
      </w:r>
      <w:r>
        <w:br/>
        <w:t>4.</w:t>
      </w:r>
      <w:r>
        <w:tab/>
        <w:t>Wszystkie inwestycje w infrastrukturę i rozwój usług edukacyjnych muszą być zgodne z wymogami Konwencji ONZ o Prawach Osób Niepełnosprawnych, w tym Komentarzem Ogólnym nr 4.</w:t>
      </w:r>
      <w:r>
        <w:br/>
        <w:t>5.</w:t>
      </w:r>
      <w:r>
        <w:tab/>
        <w:t>Wspierane działania muszą być zgodne z zasadą uniwersalnego projektowania.</w:t>
      </w:r>
      <w:r>
        <w:br/>
        <w:t>6.</w:t>
      </w:r>
      <w:r>
        <w:tab/>
        <w:t>Preferowane będą projekty realizowane na obszarach wiejskich, na terenie miast średnich tracących funkcje społeczno-gospodarcze oraz na obszarach zagrożonych trwałą marginalizacją.</w:t>
      </w:r>
      <w:r>
        <w:br/>
        <w:t>7.</w:t>
      </w:r>
      <w:r>
        <w:tab/>
        <w:t>Preferowane będą projekty wynikające ze strategii terytorialnych opracowanych przez partnerstwa JST w celu wdrażania Innego Instrumentu Terytorialnego (strategii rozwoju ponadlokalnego lub strategii IIT).</w:t>
      </w:r>
      <w:r>
        <w:br/>
        <w:t>8.</w:t>
      </w:r>
      <w:r>
        <w:tab/>
        <w:t>Preferowane będą projekty wynikające z Gminnych Programów Rewitalizacji</w:t>
      </w:r>
      <w:r>
        <w:br/>
        <w:t>9.</w:t>
      </w:r>
      <w:r>
        <w:tab/>
        <w:t>Premiowana będzie komplementarność wsparcia, w tym z EFS+.</w:t>
      </w:r>
      <w:r>
        <w:br/>
        <w:t>10.</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11.</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7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7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7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7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7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7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7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7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27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7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7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7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7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7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7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7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7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7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7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7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7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7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w:t>
      </w:r>
    </w:p>
    <w:p w14:paraId="240F27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7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Lokalne Ośrodki Wiedzy i Edukacji, mieszkańcy województwa, podmioty gospodarcze i instytucje korzystające z rezultatów projektu, szkoły i placówki oświatowe, uczniowie</w:t>
      </w:r>
    </w:p>
    <w:p w14:paraId="240F27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7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infrastruktura_edukacji_ogólnej, szkoła, szkoła_podstawowa</w:t>
      </w:r>
    </w:p>
    <w:p w14:paraId="240F27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7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7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7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WLWK-PLRO191 - Liczba doposażonych szkół</w:t>
      </w:r>
    </w:p>
    <w:p w14:paraId="240F27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7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7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WLWK-PLRO127 - Liczba przebudowanych lub rozbudowanych szkół</w:t>
      </w:r>
    </w:p>
    <w:p w14:paraId="240F27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240F27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7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240F27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PROG-FELCR09 - Liczba osób z niepełnosprawnościami korzystających ze wspartych dostosowanych obiektów</w:t>
      </w:r>
    </w:p>
    <w:p w14:paraId="240F27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786"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3" w:name="_Toc241668217"/>
      <w:r>
        <w:rPr>
          <w:rFonts w:ascii="Calibri" w:hAnsi="Calibri" w:cs="Calibri"/>
          <w:sz w:val="32"/>
        </w:rPr>
        <w:t>Działanie FELU.07.03 Infrastruktura kształcenia zawodowego i ustawicznego</w:t>
      </w:r>
      <w:bookmarkEnd w:id="53"/>
    </w:p>
    <w:p w14:paraId="240F27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7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240F27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7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8 879 067,00</w:t>
      </w:r>
    </w:p>
    <w:p w14:paraId="240F27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7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8 435 114,00</w:t>
      </w:r>
    </w:p>
    <w:p w14:paraId="240F27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7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124 - Infrastruktura na potrzeby kształcenia i szkolenia zawodowego oraz edukacji dorosłych</w:t>
      </w:r>
    </w:p>
    <w:p w14:paraId="240F27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7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Inwestycje w infrastrukturę kształcenia zawodowego w celu dostosowania do potrzeb rynku pracy, m.in. budowa, rozbudowa, przebudowa, adaptacja i modernizacja infrastruktury placówek oświaty i zapewnienie niezbędnego wyposażenia placówek gwarantującego wysoką jakość kształcenia.</w:t>
      </w:r>
      <w:r>
        <w:br/>
        <w:t>2.</w:t>
      </w:r>
      <w:r>
        <w:tab/>
        <w:t>Adaptacja pracowni symulujących rzeczywiste warunki pracy do potrzeb osób ze specjalnymi potrzebami w szkołach/placówkach ogólnodostępnych.</w:t>
      </w:r>
      <w:r>
        <w:br/>
        <w:t>3.</w:t>
      </w:r>
      <w:r>
        <w:tab/>
        <w:t>Inwestycje w infrastrukturę kształcenia ustawicznego zawodowego i praktycznego prowadzonego w formach pozaszkolnych, tj. kwalifikacyjnych kursów zawodowych, kursów umiejętności zawodowych (z wyłączeniem kursów kompetencji ogólnych), w celu umożliwienia uzyskania i uzupełnienia umiejętności i kwalifikacji zawodowych osób dorosłych.</w:t>
      </w:r>
      <w:r>
        <w:br/>
        <w:t>4.</w:t>
      </w:r>
      <w:r>
        <w:tab/>
        <w:t>Inwestycje w infrastrukturę włączającą dla osób ze specjalnymi potrzebami edukacyjnymi.</w:t>
      </w:r>
      <w:r>
        <w:br/>
        <w:t>Ad. 1.</w:t>
      </w:r>
      <w:r>
        <w:br/>
        <w:t>Wsparcie dotyczyć będzie m.in.:</w:t>
      </w:r>
      <w:r>
        <w:br/>
        <w:t>-</w:t>
      </w:r>
      <w:r>
        <w:tab/>
        <w:t>uzupełnienia infrastruktury przyszkolnej o infrastrukturę sportową, w tym przystosowanie do potrzeb osób z niepełnosprawnościami (wyłącznie jako część większego projektu oraz gdy zapewniona zostanie pełna dostępność do wspartej infrastruktury),</w:t>
      </w:r>
      <w:r>
        <w:br/>
        <w:t>-</w:t>
      </w:r>
      <w:r>
        <w:tab/>
        <w:t>przystosowania infrastruktury do potrzeb osób z niepełnosprawnościami.</w:t>
      </w:r>
      <w:r>
        <w:br/>
        <w:t>Ad. 3.</w:t>
      </w:r>
      <w:r>
        <w:br/>
        <w:t>Wsparcie dotyczyć będzie m.in.:</w:t>
      </w:r>
      <w:r>
        <w:br/>
        <w:t>-</w:t>
      </w:r>
      <w:r>
        <w:tab/>
        <w:t>przebudowy, adaptacji i modernizacji infrastruktury i zapewnienia niezbędnego wyposażenia gwarantującego wysoką jakość kształcenia,</w:t>
      </w:r>
      <w:r>
        <w:br/>
        <w:t>-</w:t>
      </w:r>
      <w:r>
        <w:tab/>
        <w:t>przystosowania infrastruktury do potrzeb osób z niepełnosprawnościami,</w:t>
      </w:r>
      <w:r>
        <w:br/>
        <w:t>-</w:t>
      </w:r>
      <w:r>
        <w:tab/>
        <w:t>wzmocnienia potencjału w zakresie wyposażenia ICT podmiotów kształcenia ustawicznego zawodowego i praktycznego prowadzonego w formach pozaszkolnych, celem świadczenia wysokiej jakości usług edukacyjnych (w tym w zakresie zdalnego nauczania) oraz dostosowania oferty edukacyjnej do szybko zmieniających się technologii i trendów na rynku pracy (z zastrzeżeniem, że inwestycje nie mogą dotyczyć zakresu wsparcia, który będzie objęty KPO).</w:t>
      </w:r>
      <w:r>
        <w:br/>
        <w:t>Kluczowe warunki realizacji projektów:</w:t>
      </w:r>
      <w:r>
        <w:br/>
        <w:t>1.</w:t>
      </w:r>
      <w:r>
        <w:tab/>
        <w:t>Szczegółowe zasady kwalifikowalności wydatków określone zostaną w Regulaminie wyboru projektów.</w:t>
      </w:r>
      <w:r>
        <w:br/>
        <w:t>2.</w:t>
      </w:r>
      <w:r>
        <w:tab/>
        <w:t>Warunkiem udzielenia wsparcia jest zgodność projektu z „Mapą potrzeb w zakresie infrastruktury edukacyjnej i społecznej w województwie lubelskim”.</w:t>
      </w:r>
      <w:r>
        <w:br/>
        <w:t>3.</w:t>
      </w:r>
      <w:r>
        <w:tab/>
        <w:t>Szkoły specjalne i inne placówki prowadzące do segregacji lub utrzymania segregacji jakiejkolwiek grupy defaworyzowanej i/lub zagrożonej wykluczeniem społecznym nie będą wspierane w zakresie infrastruktury i wyposażenia.</w:t>
      </w:r>
      <w:r>
        <w:br/>
        <w:t>4.</w:t>
      </w:r>
      <w:r>
        <w:tab/>
        <w:t>Wszystkie inwestycje w infrastrukturę i rozwój usług edukacyjnych muszą być zgodne z wymogami Konwencji ONZ o Prawach Osób Niepełnosprawnych, w tym Komentarzem Ogólnym nr 4.</w:t>
      </w:r>
      <w:r>
        <w:br/>
        <w:t>5.</w:t>
      </w:r>
      <w:r>
        <w:tab/>
        <w:t>Wspierane działania muszą być zgodne z zasadą uniwersalnego projektowania.</w:t>
      </w:r>
      <w:r>
        <w:br/>
        <w:t>6.</w:t>
      </w:r>
      <w:r>
        <w:tab/>
        <w:t>Interwencja w ramach EFRR w zakresie wsparcia kształcenia szkolnictwa zawodowego co do zasady będzie bazować na wykorzystaniu obecnej infrastruktury (kompleksy budynków, hale warsztatowe), którą należy dostosować do warunków zbliżonych do rzeczywistego środowiska pracy zawodowej.</w:t>
      </w:r>
      <w:r>
        <w:br/>
        <w:t>7.</w:t>
      </w:r>
      <w:r>
        <w:tab/>
        <w:t>Koniecznym warunkiem realizacji inwestycji w ramach Działania jest posiadanie przez wnioskodawcę jasnej wizji, w tym diagnozy potrzeb i deficytów w obszarze interwencji z uwzględnieniem analizy pod kątem trendów demograficznych i kompleksowych planów wykorzystania powstałej infrastruktury. Przedmiotowa analiza musi wykazywać zgodność z „Mapą potrzeb w zakresie infrastruktury edukacyjnej i społecznej w województwie lubelskim”.</w:t>
      </w:r>
      <w:r>
        <w:br/>
        <w:t>8.</w:t>
      </w:r>
      <w:r>
        <w:tab/>
        <w:t>Wsparcie infrastruktury sportowej będzie możliwe, o ile wynika to z analizy potrzeb, jest powiązane z celami EFS+ i wspiera rozwój działań integracyjnych, włączających, w ramach walki z wykluczeniem społecznym.</w:t>
      </w:r>
      <w:r>
        <w:br/>
        <w:t>9.</w:t>
      </w:r>
      <w:r>
        <w:tab/>
        <w:t>Preferowane będą projekty realizowane na obszarach wiejskich, na terenie miast średnich tracących funkcje społeczno-gospodarcze oraz na obszarach zagrożonych trwałą marginalizacją.</w:t>
      </w:r>
      <w:r>
        <w:br/>
        <w:t>10.</w:t>
      </w:r>
      <w:r>
        <w:tab/>
        <w:t>Preferowane będą projekty wynikające ze strategii terytorialnych opracowanych przez partnerstwa JST w celu wdrażania Innego Instrumentu Terytorialnego (strategii rozwoju ponadlokalnego lub strategii IIT).</w:t>
      </w:r>
      <w:r>
        <w:br/>
        <w:t>11.</w:t>
      </w:r>
      <w:r>
        <w:tab/>
        <w:t>Preferowane będą projekty wynikające z Gminnych Programów Rewitalizacji</w:t>
      </w:r>
      <w:r>
        <w:br/>
        <w:t>12.</w:t>
      </w:r>
      <w:r>
        <w:tab/>
        <w:t>Premiowana będzie komplementarność wsparcia, w tym z EFS+.</w:t>
      </w:r>
      <w:r>
        <w:br/>
        <w:t>13.</w:t>
      </w:r>
      <w:r>
        <w:tab/>
        <w:t>Preferencyjnie traktowane będą projekty wspierające rozwój kształcenia zawodowego przy aktywnym udziale pracodawców, gwarantującym rzeczywisty kontakt ze środowiskiem pracy w danym zawodzie. Ponadto preferowane będą kierunki kształcenia związane z nowoczesnymi technologiami (w tym w szczególności wpisujących się do zakresu tzw. kluczowych technologii wspomagających oraz procesami cyfryzacji przemysłu, wnoszące wartość dodaną na rzecz modernizacji procesów produkcyjnych), zieloną gospodarką czy Przemysłem 4.0.</w:t>
      </w:r>
      <w:r>
        <w:br/>
        <w:t>14.</w:t>
      </w:r>
      <w:r>
        <w:tab/>
        <w:t>Inwestycje w infrastrukturę kształcenia zawodowego, szkoleń zawodowych oraz uczenia się przez całe życie powinny być skoncentrowane na dostosowaniu szkolnictwa do wymogów zgodnych z aktualnym i prognozowanym zapotrzebowaniem rynku pracy oraz powinny prowadzić do tworzenia warunków zbliżonych do rzeczywistego środowiska pracy zawodowej.</w:t>
      </w:r>
      <w:r>
        <w:br/>
        <w:t>15.</w:t>
      </w:r>
      <w:r>
        <w:tab/>
        <w:t>Interwencja realizowana w ramach działań związanych ze wsparciem infrastruktury kształcenia ustawicznego musi być wykorzystywana w procesie organizacji i prowadzenia dla osób dorosłych:</w:t>
      </w:r>
      <w:r>
        <w:br/>
        <w:t>-</w:t>
      </w:r>
      <w:r>
        <w:tab/>
        <w:t>kwalifikacyjnych kursów zawodowych,</w:t>
      </w:r>
      <w:r>
        <w:br/>
        <w:t>-</w:t>
      </w:r>
      <w:r>
        <w:tab/>
        <w:t>kursów umiejętności (z wyłączeniem kursów kompetencji ogólnych),</w:t>
      </w:r>
      <w:r>
        <w:br/>
        <w:t>w celu umożliwienia uzyskania i uzupełnienia umiejętności i kwalifikacji zawodowych osób dorosłych.</w:t>
      </w:r>
      <w:r>
        <w:br/>
        <w:t>16.</w:t>
      </w:r>
      <w:r>
        <w:tab/>
        <w:t>Preferencje uzyskają projekty dotyczące szkół/placówek prowadzących kształcenie w zakresie zawodów wpisujących się w inteligentne specjalizacje wynikające z „Regionalnej Strategii Innowacji Województwa Lubelskiego do 2030 roku", sektory szybkiego wzrostu oraz sektory ważne dla lokalnych rynków pracy, m.in. w zakresie transformacji w kierunku zielonej gospodarki.</w:t>
      </w:r>
      <w:r>
        <w:br/>
        <w:t>17.</w:t>
      </w:r>
      <w:r>
        <w:tab/>
        <w:t>W ramach Działania przewidziano wsparcie działań społecznych obejmujących m.in. działania ukierunkowane na rozwój potencjału ludzkiego w zakresie podnoszenia kwalifikacji i kompetencji oraz w zakresie doradztwa edukacyjno-zawodowego oraz zawodowego dla uczniów. Wartość niniejszych zadań nie może przekroczyć 15% współfinansowania unijnego projektu.</w:t>
      </w:r>
      <w:r>
        <w:br/>
        <w:t>18.</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19.</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7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7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7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7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7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7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7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7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27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7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7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7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7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7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7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7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7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7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7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7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7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7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w:t>
      </w:r>
    </w:p>
    <w:p w14:paraId="240F27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7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Lokalne Ośrodki Wiedzy i Edukacji, mieszkańcy województwa, podmioty gospodarcze i instytucje korzystające z rezultatów projektu, szkoły i placówki oświatowe, uczniowie</w:t>
      </w:r>
    </w:p>
    <w:p w14:paraId="240F27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7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infrastruktura_kształcenia_ustawicznego, infrastruktura_kształcenia_zawodowego, kształcenie_dorosłych, kształcenie_zawodowe, kwalifikacje, rozwój_zawodowy</w:t>
      </w:r>
    </w:p>
    <w:p w14:paraId="240F27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7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7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7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WLWK-PLRO191 - Liczba doposażonych szkół</w:t>
      </w:r>
    </w:p>
    <w:p w14:paraId="240F27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7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7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WLWK-PLRO127 - Liczba przebudowanych lub rozbudowanych szkół</w:t>
      </w:r>
    </w:p>
    <w:p w14:paraId="240F27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WLWK-PLRO126 - Liczba wybudowanych szkół</w:t>
      </w:r>
    </w:p>
    <w:p w14:paraId="240F27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240F27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7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240F27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PROG-FELCR09 - Liczba osób z niepełnosprawnościami korzystających ze wspartych dostosowanych obiektów</w:t>
      </w:r>
    </w:p>
    <w:p w14:paraId="240F27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7B8"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4" w:name="_Toc241668218"/>
      <w:r>
        <w:rPr>
          <w:rFonts w:ascii="Calibri" w:hAnsi="Calibri" w:cs="Calibri"/>
          <w:sz w:val="32"/>
        </w:rPr>
        <w:t>Działanie FELU.07.04 Infrastruktura szkół wyższych</w:t>
      </w:r>
      <w:bookmarkEnd w:id="54"/>
    </w:p>
    <w:p w14:paraId="240F27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7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240F27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7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1 197 165,00</w:t>
      </w:r>
    </w:p>
    <w:p w14:paraId="240F27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7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1 137 307,00</w:t>
      </w:r>
    </w:p>
    <w:p w14:paraId="240F27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7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123 - Infrastruktura na potrzeby szkolnictwa wyższego</w:t>
      </w:r>
    </w:p>
    <w:p w14:paraId="240F27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7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Inwestycje w infrastrukturę szkolnictwa wyższego zawodowego oraz specjalistyczną infrastrukturę (typu pracownie zawodowe) szkolnictwa wyższego akademickiego prowadzącego studia o profilu praktycznym w celu podniesienia jakości kształcenia i dostosowania do potrzeb rynku pracy, m.in. budowa, rozbudowa, przebudowa, adaptacja i modernizacja infrastruktury i zapewnienie niezbędnego wyposażenia (dla osób ze specjalnymi potrzebami).</w:t>
      </w:r>
      <w:r>
        <w:br/>
        <w:t>2.</w:t>
      </w:r>
      <w:r>
        <w:tab/>
        <w:t>Inwestycje w infrastrukturę włączającą dla osób ze specjalnymi potrzebami edukacyjnymi.</w:t>
      </w:r>
      <w:r>
        <w:br/>
      </w:r>
      <w:r>
        <w:br/>
        <w:t>Ad. 1. Wsparcie dotyczyć będzie m.in.:</w:t>
      </w:r>
      <w:r>
        <w:br/>
        <w:t>-</w:t>
      </w:r>
      <w:r>
        <w:tab/>
        <w:t>uzupełnienia infrastruktury przyszkolnej o infrastrukturę sportową, w tym przystosowania do potrzeb osób z niepełnosprawnościami (wyłącznie jako część większego projektu oraz gdy zapewniona zostanie pełna dostępność do wspartej infrastruktury),</w:t>
      </w:r>
      <w:r>
        <w:br/>
        <w:t>-</w:t>
      </w:r>
      <w:r>
        <w:tab/>
        <w:t>przystosowania infrastruktury do potrzeb osób z niepełnosprawnościami,</w:t>
      </w:r>
      <w:r>
        <w:br/>
        <w:t>-</w:t>
      </w:r>
      <w:r>
        <w:tab/>
        <w:t>wzmocnienia potencjału w zakresie wyposażenia ICT podmiotów szkolnictwa wyższego zawodowego, wyższego akademickiego prowadzącego studia o profilu praktycznym, celem świadczenia wysokiej jakości usług edukacyjnych (w tym w zakresie zdalnego nauczania) oraz dostosowania oferty edukacyjnej do szybko zmieniających się technologii i trendów na rynku pracy (z zastrzeżeniem, że inwestycje nie mogą dotyczyć zakresu wsparcia, który będzie objęty KPO).</w:t>
      </w:r>
      <w:r>
        <w:br/>
        <w:t>Kluczowe warunki realizacji projektów:</w:t>
      </w:r>
      <w:r>
        <w:br/>
        <w:t>1.</w:t>
      </w:r>
      <w:r>
        <w:tab/>
        <w:t>Szczegółowe zasady kwalifikowalności wydatków określone zostaną w Regulaminie wyboru projektów.</w:t>
      </w:r>
      <w:r>
        <w:br/>
        <w:t>2.</w:t>
      </w:r>
      <w:r>
        <w:tab/>
        <w:t>Warunkiem udzielenia wsparcia jest zgodność projektu z „Mapą potrzeb w zakresie infrastruktury edukacyjnej i społecznej w województwie lubelskim”.</w:t>
      </w:r>
      <w:r>
        <w:br/>
        <w:t>3.</w:t>
      </w:r>
      <w:r>
        <w:tab/>
        <w:t>Szkoły specjalne i inne placówki prowadzące do segregacji lub utrzymania segregacji jakiejkolwiek grupy defaworyzowanej i/lub zagrożonej wykluczeniem społecznym nie będą wspierane w zakresie infrastruktury i wyposażenia.</w:t>
      </w:r>
      <w:r>
        <w:br/>
        <w:t>4.</w:t>
      </w:r>
      <w:r>
        <w:tab/>
        <w:t>Wszystkie inwestycje w infrastrukturę i rozwój usług edukacyjnych muszą być zgodne z wymogami Konwencji ONZ o Prawach Osób Niepełnosprawnych, w tym Komentarzem Ogólnym nr 4.</w:t>
      </w:r>
      <w:r>
        <w:br/>
        <w:t>5.</w:t>
      </w:r>
      <w:r>
        <w:tab/>
        <w:t>Wspierane działania muszą być zgodne z zasadą uniwersalnego projektowania.</w:t>
      </w:r>
      <w:r>
        <w:br/>
        <w:t>6.</w:t>
      </w:r>
      <w:r>
        <w:tab/>
        <w:t>Interwencja w ramach EFRR będzie bazować na wykorzystaniu obecnej infrastruktury (kompleksy budynków, hale warsztatowe), którą należy dostosować do warunków zbliżonych do rzeczywistego środowiska pracy zawodowej. Tym samym niekwalifikowalne będą koszty budowy nowych budynków.</w:t>
      </w:r>
      <w:r>
        <w:br/>
        <w:t>7.</w:t>
      </w:r>
      <w:r>
        <w:tab/>
        <w:t xml:space="preserve"> Koniecznym warunkiem realizacji inwestycji w ramach Działania jest posiadanie przez wnioskodawcę jasnej wizji, w tym diagnozy potrzeb i deficytów w obszarze interwencji z uwzględnieniem analizy pod kątem trendów demograficznych i kompleksowych planów wykorzystania powstałej infrastruktury. Przedmiotowa analiza musi wykazywać zgodność z „Mapą potrzeb w zakresie infrastruktury edukacyjnej i społecznej w województwie lubelskim”.</w:t>
      </w:r>
      <w:r>
        <w:br/>
        <w:t>8.</w:t>
      </w:r>
      <w:r>
        <w:tab/>
        <w:t>Wsparcie infrastruktury sportowej będzie możliwe, o ile wynika to z analizy potrzeb, jest powiązane z celami EFS+ i wspiera rozwój działań integracyjnych, włączających, w ramach walki z wykluczeniem społecznym.</w:t>
      </w:r>
      <w:r>
        <w:br/>
        <w:t>9.</w:t>
      </w:r>
      <w:r>
        <w:tab/>
        <w:t>Preferowane będą projekty realizowane na terenie miast średnich tracących funkcje społeczno-gospodarcze oraz na obszarach zagrożonych trwałą marginalizacją.</w:t>
      </w:r>
      <w:r>
        <w:br/>
        <w:t>10.</w:t>
      </w:r>
      <w:r>
        <w:tab/>
        <w:t>Premiowana będzie komplementarność wsparcia, w tym z EFS+.</w:t>
      </w:r>
      <w:r>
        <w:br/>
        <w:t>11.</w:t>
      </w:r>
      <w:r>
        <w:tab/>
        <w:t>Preferencyjnie traktowane będą projekty wspierające rozwój kształcenia zawodowego przy aktywnym udziale pracodawców, gwarantującym rzeczywisty kontakt ze środowiskiem pracy w danym zawodzie. Ponadto preferowane będą kierunki kształcenia związane z nowoczesnymi technologiami (w tym w szczególności wpisujących się do zakresu tzw. kluczowych technologii wspomagających oraz procesami cyfryzacji przemysłu, wnoszące wartość dodaną na rzecz modernizacji procesów produkcyjnych), zieloną gospodarką czy Przemysłem 4.0.</w:t>
      </w:r>
      <w:r>
        <w:br/>
        <w:t>12.</w:t>
      </w:r>
      <w:r>
        <w:tab/>
        <w:t>Inwestycje powinny być skoncentrowane na dostosowaniu szkolnictwa do wymogów zgodnych z aktualnym i prognozowanym zapotrzebowaniem rynku pracy oraz powinny prowadzić do tworzenia warunków zbliżonych do rzeczywistego środowiska pracy zawodowej.</w:t>
      </w:r>
      <w:r>
        <w:br/>
        <w:t>13.</w:t>
      </w:r>
      <w:r>
        <w:tab/>
        <w:t>Preferencje uzyskają projekty kształcenia w zakresie zawodów wpisujących się w inteligentne specjalizacje wynikające z „Regionalnej Strategii Innowacji Województwa Lubelskiego do 2030 roku", sektory szybkiego wzrostu oraz sektory ważne dla lokalnych rynków pracy, m.in. w zakresie transformacji w kierunku zielonej gospodarki.</w:t>
      </w:r>
      <w:r>
        <w:br/>
        <w:t>14.</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15.</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p>
    <w:p w14:paraId="240F27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7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7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7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7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7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7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7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27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7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7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7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7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7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7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7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7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7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7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7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7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7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w:t>
      </w:r>
    </w:p>
    <w:p w14:paraId="240F27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7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województwa, podmioty gospodarcze i instytucje korzystające z rezultatów projektu, uczelnie z terenu regionu, ich uczniowie</w:t>
      </w:r>
    </w:p>
    <w:p w14:paraId="240F27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7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infrastruktura_szkolnictwa_wyższego, infrastruktura_wyższego_szkolnictwa_zawodowego, kształcenie_zawodowe, kwalifikacje, rozwój_zawodowy, szkolnictwo_wyższe, uczelnia</w:t>
      </w:r>
    </w:p>
    <w:p w14:paraId="240F27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7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7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7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WLWK-PLRO131 - Liczba doposażonych uczelni</w:t>
      </w:r>
    </w:p>
    <w:p w14:paraId="240F27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7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7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WLWK-PLRO130 - Liczba wspartych uczelni pod kątem przebudowy i rozbudowy infrastruktury dydaktycznej i naukowej</w:t>
      </w:r>
    </w:p>
    <w:p w14:paraId="240F27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240F27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7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240F27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PROG-FELCR09 - Liczba osób z niepełnosprawnościami korzystających ze wspartych dostosowanych obiektów</w:t>
      </w:r>
    </w:p>
    <w:p w14:paraId="240F27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7E9"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5" w:name="_Toc241668219"/>
      <w:r>
        <w:rPr>
          <w:rFonts w:ascii="Calibri" w:hAnsi="Calibri" w:cs="Calibri"/>
          <w:sz w:val="32"/>
        </w:rPr>
        <w:t>Działanie FELU.07.05 Infrastruktura edukacyjna w ramach Zintegrowanych Inwestycji Terytorialnych</w:t>
      </w:r>
      <w:bookmarkEnd w:id="55"/>
    </w:p>
    <w:p w14:paraId="240F27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7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240F27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7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17 270 049,00</w:t>
      </w:r>
    </w:p>
    <w:p w14:paraId="240F27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7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16 406 547,00</w:t>
      </w:r>
    </w:p>
    <w:p w14:paraId="240F27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7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121 - Infrastruktura na potrzeby wczesnej edukacji i opieki nad dzieckiem, 122 - Infrastruktura na potrzeby szkolnictwa podstawowego i średniego, 123 - Infrastruktura na potrzeby szkolnictwa wyższego, 124 - Infrastruktura na potrzeby kształcenia i szkolenia zawodowego oraz edukacji dorosłych</w:t>
      </w:r>
    </w:p>
    <w:p w14:paraId="240F27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7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Inwestycje w infrastrukturę edukacji przedszkolnej, w tym w szczególności na obszarach deficytowych, m. in.: budowa, rozbudowa, przebudowa, adaptacja i modernizacja obiektów na potrzeby prowadzenia działalności edukacyjnej, w tym m.in. place zabaw wraz z zapewnieniem niezbędnego wyposażenia gwarantującego wysoką jakość kształcenia.</w:t>
      </w:r>
      <w:r>
        <w:br/>
        <w:t>2.</w:t>
      </w:r>
      <w:r>
        <w:tab/>
        <w:t>Inwestycje w infrastrukturę włączającą dla osób ze specjalnymi potrzebami edukacyjnymi.</w:t>
      </w:r>
      <w:r>
        <w:br/>
        <w:t>3.</w:t>
      </w:r>
      <w:r>
        <w:tab/>
        <w:t>Adaptacja pracowni symulujących rzeczywiste warunki pracy do potrzeb osób ze specjalnymi potrzebami w szkołach/placówkach ogólnodostępnych.</w:t>
      </w:r>
      <w:r>
        <w:br/>
        <w:t>4.</w:t>
      </w:r>
      <w:r>
        <w:tab/>
        <w:t>Inwestycje w infrastrukturę kształcenia zawodowego w celu dostosowania do potrzeb rynku pracy, m.in. budowa, rozbudowa, przebudowa, adaptacja i modernizacja infrastruktury placówek oświaty i zapewnienie niezbędnego wyposażenia placówek gwarantującego wysoką jakość kształcenia.</w:t>
      </w:r>
      <w:r>
        <w:br/>
        <w:t>5.</w:t>
      </w:r>
      <w:r>
        <w:tab/>
        <w:t>Inwestycje w infrastrukturę kształcenia ustawicznego zawodowego i praktycznego prowadzonego w formach pozaszkolnych, tj. kwalifikacyjnych kursów zawodowych, kursów umiejętności zawodowych (z wyłączeniem kursów kompetencji ogólnych), w celu umożliwienia uzyskania i uzupełnienia umiejętności i kwalifikacji zawodowych osób dorosłych.</w:t>
      </w:r>
      <w:r>
        <w:br/>
        <w:t>6.</w:t>
      </w:r>
      <w:r>
        <w:tab/>
        <w:t>Inwestycje w infrastrukturę szkolnictwa wyższego zawodowego oraz specjalistyczną infrastrukturę (typu pracownie zawodowe) szkolnictwa wyższego akademickiego prowadzącego studia o profilu praktycznym w celu podniesienia jakości kształcenia i dostosowania do potrzeb rynku pracy, m.in. budowa, rozbudowa, przebudowa, adaptacja i modernizacja infrastruktury i zapewnienie niezbędnego wyposażenia (dla osób ze specjalnymi potrzebami).</w:t>
      </w:r>
      <w:r>
        <w:br/>
        <w:t>Ad. 1.:</w:t>
      </w:r>
      <w:r>
        <w:br/>
        <w:t>-</w:t>
      </w:r>
      <w:r>
        <w:tab/>
        <w:t>Wsparcie dotyczyć będzie również m.in.:</w:t>
      </w:r>
      <w:r>
        <w:br/>
        <w:t>•</w:t>
      </w:r>
      <w:r>
        <w:tab/>
        <w:t>wzmocnienia potencjału w zakresie wyposażenia ICT podmiotów edukacji przedszkolnej celem świadczenia wysokiej jakości usług edukacyjnych (w tym w zakresie zdalnego nauczania) oraz dostosowania oferty edukacyjnej do szybko zmieniających się technologii i trendów na rynku pracy (wyłącznie jako element projektu).</w:t>
      </w:r>
      <w:r>
        <w:br/>
        <w:t>-</w:t>
      </w:r>
      <w:r>
        <w:tab/>
        <w:t>Wsparcie infrastrukturalne co do zasady może zostać skierowane na finansowane projektów realizowanych w oparciu o istniejącą bazę lokalową. W wyjątkowych sytuacjach, w przypadku braku możliwości adaptacji istniejących budynków możliwa będzie budowa nowych obiektów lub rozbudowa istniejących związanych bezpośrednio z prowadzeniem działalności edukacyjnej w deficytowych obszarach. W takich przypadkach wnioskodawca będzie musiał przedstawić szerokie uzasadnienie wskazujące, że zaproponowane rozwiązania stanowią element strategicznego podejścia do obszaru edukacji przedszkolnej na terenie danej jednostki samorządu terytorialnego i uwzględniają uwarunkowania demograficzne. Drugi wyjątek dot. odtworzenia zabudowy zdegradowanej w stopniu uniemożliwiającym jej regenerację/renowację (zastąpienie starego budynku nowym). W takim przypadku, wnioskodawca zobowiązany będzie do przedstawienia wiarygodnych analiz potwierdzających, iż stopień zdegradowania budynku uniemożliwia jego regenerację/renowację, w tym analiz potwierdzających efektywność kosztową takiego rozwiązania. Za wiarygodną analizę uznana będzie ekspertyza techniczna wykonana przez osobę posiadającą tytuł rzeczoznawcy budowlanego nadany przez właściwy organ samorządu zawodowego.</w:t>
      </w:r>
      <w:r>
        <w:br/>
        <w:t>-</w:t>
      </w:r>
      <w:r>
        <w:tab/>
        <w:t>W ramach tego typu projektów przewidziano wsparcie do wysokości 15% współfinansowania unijnego działań społecznych obejmujących m.in. działania ukierunkowane na rozwój potencjału ludzkiego w zakresie podnoszenia kwalifikacji i kompetencji.</w:t>
      </w:r>
      <w:r>
        <w:br/>
        <w:t>Ad. 4.:</w:t>
      </w:r>
      <w:r>
        <w:br/>
        <w:t>a)</w:t>
      </w:r>
      <w:r>
        <w:tab/>
        <w:t>Wsparcie dotyczyć będzie m.in.:</w:t>
      </w:r>
      <w:r>
        <w:br/>
        <w:t>•</w:t>
      </w:r>
      <w:r>
        <w:tab/>
        <w:t>uzupełnienia infrastruktury przyszkolnej o infrastrukturę sportową, w tym przystosowanie do potrzeb osób z niepełnosprawnościami (wyłącznie jako część większego projektu oraz gdy zapewniona zostanie pełna dostępność do wspartej infrastruktury). Wsparcie infrastruktury sportowej będzie możliwe, o ile wynika to z analizy potrzeb, jest powiązane z celami EFS+ i wspiera rozwój działań integracyjnych, włączających, w ramach walki z wykluczeniem społecznym,</w:t>
      </w:r>
      <w:r>
        <w:br/>
        <w:t>•</w:t>
      </w:r>
      <w:r>
        <w:tab/>
        <w:t>przystosowania infrastruktury do potrzeb osób z niepełnosprawnościami.</w:t>
      </w:r>
      <w:r>
        <w:br/>
        <w:t>Ad. 5:</w:t>
      </w:r>
      <w:r>
        <w:br/>
        <w:t>b)</w:t>
      </w:r>
      <w:r>
        <w:tab/>
        <w:t>Wsparcie dotyczyć będzie m.in.:</w:t>
      </w:r>
      <w:r>
        <w:br/>
        <w:t>•</w:t>
      </w:r>
      <w:r>
        <w:tab/>
        <w:t>przebudowy, adaptacji i modernizacji infrastruktury i zapewnienie niezbędnego wyposażenia gwarantującego wysoką jakość kształcenia,</w:t>
      </w:r>
      <w:r>
        <w:br/>
        <w:t>•</w:t>
      </w:r>
      <w:r>
        <w:tab/>
        <w:t>przystosowania infrastruktury do potrzeb osób z niepełnosprawnościami,</w:t>
      </w:r>
      <w:r>
        <w:br/>
        <w:t>•</w:t>
      </w:r>
      <w:r>
        <w:tab/>
        <w:t>wzmocnienia potencjału w zakresie wyposażenia ICT podmiotów kształcenia ustawicznego zawodowego i praktycznego prowadzonego w formach pozaszkolnych, celem świadczenia wysokiej jakości usług edukacyjnych (w tym w zakresie zdalnego nauczania) oraz dostosowania oferty edukacyjnej do szybko zmieniających się technologii i trendów na rynku pracy (z zastrzeżeniem, że inwestycje nie mogą dotyczyć zakresu wsparcia, który będzie objęty KPO).</w:t>
      </w:r>
      <w:r>
        <w:br/>
        <w:t>Ad. 4, 5:</w:t>
      </w:r>
      <w:r>
        <w:br/>
        <w:t>-</w:t>
      </w:r>
      <w:r>
        <w:tab/>
        <w:t>Interwencja w zakresie wsparcia kształcenia szkolnictwa zawodowego co do zasady będzie bazować na wykorzystaniu obecnej infrastruktury, którą należy dostosować do warunków zbliżonych do rzeczywistego środowiska pracy zawodowej.</w:t>
      </w:r>
      <w:r>
        <w:br/>
        <w:t>-</w:t>
      </w:r>
      <w:r>
        <w:tab/>
        <w:t>Inwestycje w infrastrukturę kształcenia zawodowego, szkoleń zawodowych oraz uczenia się przez całe życie powinny być skoncentrowane na dostosowaniu szkolnictwa do wymogów zgodnych z aktualnym i prognozowanym zapotrzebowaniem rynku pracy.</w:t>
      </w:r>
      <w:r>
        <w:br/>
        <w:t>-</w:t>
      </w:r>
      <w:r>
        <w:tab/>
        <w:t>Interwencja realizowana w ramach działań związanych ze wsparciem infrastruktury kształcenia ustawicznego musi być wykorzystywana w procesie organizacji i prowadzenia dla osób dorosłych:</w:t>
      </w:r>
      <w:r>
        <w:br/>
        <w:t>-</w:t>
      </w:r>
      <w:r>
        <w:tab/>
        <w:t>kwalifikacyjnych kursów zawodowych,</w:t>
      </w:r>
      <w:r>
        <w:br/>
        <w:t>-</w:t>
      </w:r>
      <w:r>
        <w:tab/>
        <w:t>kursów umiejętności (z wyłączeniem kursów kompetencji ogólnych),</w:t>
      </w:r>
      <w:r>
        <w:br/>
        <w:t>w celu umożliwienia uzyskania i uzupełnienia umiejętności i kwalifikacji zawodowych osób dorosłych.</w:t>
      </w:r>
      <w:r>
        <w:br/>
        <w:t>-</w:t>
      </w:r>
      <w:r>
        <w:tab/>
        <w:t>W ramach tego typu projektu przewidziano wsparcie działań społecznych do wysokości 15% współfinansowania unijnego obejmujących m.in. działania ukierunkowane na rozwój potencjału ludzkiego w zakresie podnoszenia kwalifikacji i kompetencji oraz w zakresie doradztwa edukacyjno-zawodowego oraz zawodowego dla uczniów.</w:t>
      </w:r>
      <w:r>
        <w:br/>
        <w:t>Ad. 6:</w:t>
      </w:r>
      <w:r>
        <w:br/>
        <w:t>1.</w:t>
      </w:r>
      <w:r>
        <w:tab/>
        <w:t>Wsparcie dotyczyć będzie m.in.:</w:t>
      </w:r>
      <w:r>
        <w:br/>
        <w:t>-</w:t>
      </w:r>
      <w:r>
        <w:tab/>
        <w:t>uzupełnienia infrastruktury przyszkolnej o infrastrukturę sportową, w tym przystosowania do potrzeb osób z niepełnosprawnościami (z zastrzeżeniem, że wsparcie infrastruktury sportowej może wyłącznie być częścią większego projektu oraz zapewniać pełną dostępność do wspartej infrastruktury).</w:t>
      </w:r>
      <w:r>
        <w:br/>
        <w:t>-</w:t>
      </w:r>
      <w:r>
        <w:tab/>
        <w:t>przystosowania infrastruktury do potrzeb osób z niepełnosprawnościami,</w:t>
      </w:r>
      <w:r>
        <w:br/>
        <w:t>-</w:t>
      </w:r>
      <w:r>
        <w:tab/>
        <w:t>wzmocnienia potencjału w zakresie wyposażenia ICT podmiotów szkolnictwa wyższego zawodowego, wyższego akademickiego prowadzącego studia o profilu praktycznym, celem świadczenia wysokiej jakości usług edukacyjnych (w tym w zakresie zdalnego nauczania) oraz dostosowania oferty edukacyjnej do szybko zmieniających się technologii i trendów na rynku pracy (z zastrzeżeniem, że inwestycje nie mogą dotyczyć zakresu wsparcia, który będzie objęty KPO).</w:t>
      </w:r>
      <w:r>
        <w:br/>
        <w:t>2.</w:t>
      </w:r>
      <w:r>
        <w:tab/>
        <w:t>Interwencja będzie bazować na wykorzystaniu obecnej infrastruktury, którą należy dostosować do warunków zbliżonych do rzeczywistego środowiska pracy zawodowej. Tym samym niekwalifikowalne będą koszty budowy nowych budynków.</w:t>
      </w:r>
      <w:r>
        <w:br/>
        <w:t>Kluczowe warunki realizacji projektów:</w:t>
      </w:r>
      <w:r>
        <w:br/>
        <w:t>1.</w:t>
      </w:r>
      <w:r>
        <w:tab/>
        <w:t>Szczegółowe zasady kwalifikowalności wydatków określone zostaną w Regulaminie wyboru projektów.</w:t>
      </w:r>
      <w:r>
        <w:br/>
        <w:t>2.</w:t>
      </w:r>
      <w:r>
        <w:tab/>
        <w:t>Realizowane przedsięwzięcia muszą zostać zidentyfikowane w strategii terytorialnej będącej podstawą realizacji ZIT, pozytywnie zaopiniowanej pod kątem możliwości jej finansowania w ramach Programu, przez IZ.</w:t>
      </w:r>
      <w:r>
        <w:br/>
        <w:t>3.</w:t>
      </w:r>
      <w:r>
        <w:tab/>
        <w:t>Realizowane inwestycje muszą mieć charakter zintegrowany, tj. muszą wpisywać się w cele rozwoju obszaru funkcjonalnego objętego instrumentem i być ukierunkowane na rozwiązywanie wspólnych problemów rozwojowych –projekt musi mieć wpływ na więcej niż 1 gminę w MOF oraz jego realizacja musi być uzasadniona w części diagnostycznej oraz w części kierunkowej strategii. Inwestycje te muszą spełniać jeden z warunków: muszą być projektem partnerskim w rozumieniu art. 39 ustawy wdrożeniowej lub deklarowany powinien być wspólny efekt, rezultat lub produkt końcowy projektu, tj. wspólne wykorzystanie stworzonej w jego ramach infrastruktury.</w:t>
      </w:r>
      <w:r>
        <w:br/>
        <w:t>4.</w:t>
      </w:r>
      <w:r>
        <w:tab/>
        <w:t>Warunkiem udzielenia wsparcia jest zgodność projektu z „Mapą potrzeb w zakresie infrastruktury edukacyjnej i społecznej w województwie lubelskim”.</w:t>
      </w:r>
      <w:r>
        <w:br/>
        <w:t>5.</w:t>
      </w:r>
      <w:r>
        <w:tab/>
        <w:t>Szkoły specjalne i inne placówki prowadzące do segregacji lub utrzymania segregacji jakiejkolwiek grupy defaworyzowanej i/lub zagrożonej wykluczeniem społecznym nie będą wspierane w zakresie infrastruktury i wyposażenia.</w:t>
      </w:r>
      <w:r>
        <w:br/>
        <w:t>6.</w:t>
      </w:r>
      <w:r>
        <w:tab/>
        <w:t>Wszystkie inwestycje w infrastrukturę i rozwój usług edukacyjnych muszą być zgodne z wymogami Konwencji ONZ o Prawach Osób Niepełnosprawnych, w tym Komentarzem Ogólnym nr 4.</w:t>
      </w:r>
      <w:r>
        <w:br/>
        <w:t>7.</w:t>
      </w:r>
      <w:r>
        <w:tab/>
        <w:t>Koniecznym warunkiem realizacji inwestycji jest posiadanie przez wnioskodawcę jasnej wizji, w tym diagnozy potrzeb i deficytów w obszarze interwencji z uwzględnieniem analizy pod kątem trendów demograficznych i kompleksowych planów wykorzystania powstałej infrastruktury. Przedmiotowa analiza musi wykazywać zgodność z „Mapą potrzeb w zakresie infrastruktury edukacyjnej i społecznej w województwie lubelskim”.</w:t>
      </w:r>
      <w:r>
        <w:br/>
        <w:t>8.</w:t>
      </w:r>
      <w:r>
        <w:tab/>
        <w:t>Wsparcie infrastruktury sportowej będzie możliwe, o ile wynika to z analizy potrzeb, jest powiązane z celami EFS+ i wspiera rozwój działań integracyjnych, włączających, w ramach walki z wykluczeniem społecznym. W przypadku przedszkoli, możliwe będzie wsparcie infrastruktury sportowej typu boisko, urządzenia sprawnościowe dla dzieci, wyposażenie sali sportowej.</w:t>
      </w:r>
      <w:r>
        <w:br/>
        <w:t>9.</w:t>
      </w:r>
      <w:r>
        <w:tab/>
        <w:t>Premiowana będzie komplementarność wsparcia, w tym z EFS+.</w:t>
      </w:r>
      <w:r>
        <w:br/>
      </w:r>
    </w:p>
    <w:p w14:paraId="240F27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7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7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7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7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7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7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7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27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7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7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7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8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8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8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8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8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8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8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8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8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8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Zintegrowane Inwestycje Terytorialne (ZIT)</w:t>
      </w:r>
    </w:p>
    <w:p w14:paraId="240F28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8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28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8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infrastruktura_edukacji_ogólnej, infrastruktura_edukacji_przedszkolnej, infrastruktura_kształcenia_ustawicznego, infrastruktura_kształcenia_zawodowego, infrastruktura_wyższego_szkolnictwa_zawodowego, kształcenie_dorosłych, kształcenie_zawodowe, szkoła_podstawowa, wychowanie_przedszkolne, Zintegrowane_Inwestycje_Terytorialne</w:t>
      </w:r>
    </w:p>
    <w:p w14:paraId="240F28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8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8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8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WLWK-PLRO124 - Liczba doposażonych przedszkoli</w:t>
      </w:r>
    </w:p>
    <w:p w14:paraId="240F28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WLWK-PLRO191 - Liczba doposażonych szkół</w:t>
      </w:r>
    </w:p>
    <w:p w14:paraId="240F28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WLWK-PLRO131 - Liczba doposażonych uczelni</w:t>
      </w:r>
    </w:p>
    <w:p w14:paraId="240F28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8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8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WLWK-PLRO123 - Liczba przebudowanych lub rozbudowanych przedszkoli</w:t>
      </w:r>
    </w:p>
    <w:p w14:paraId="240F28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WLWK-PLRO127 - Liczba przebudowanych lub rozbudowanych szkół</w:t>
      </w:r>
    </w:p>
    <w:p w14:paraId="240F28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WLWK-PLRO129 - Liczba wspartych uczelni pod kątem budowy infrastruktury dydaktycznej i naukowej</w:t>
      </w:r>
    </w:p>
    <w:p w14:paraId="240F28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WLWK-PLRO122 - Liczba wybudowanych przedszkoli</w:t>
      </w:r>
    </w:p>
    <w:p w14:paraId="240F28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WLWK-PLRO126 - Liczba wybudowanych szkół</w:t>
      </w:r>
    </w:p>
    <w:p w14:paraId="240F28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8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WLWK-RCO066 - Pojemność klas w nowych lub zmodernizowanych placówkach opieki nad dziećmi</w:t>
      </w:r>
    </w:p>
    <w:p w14:paraId="240F28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240F28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8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8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WLWK-RCR070 - Roczna liczba użytkowników nowych lub zmodernizowanych placówek opieki nad dziećmi</w:t>
      </w:r>
    </w:p>
    <w:p w14:paraId="240F28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240F28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PROG-FELCR09 - Liczba osób z niepełnosprawnościami korzystających ze wspartych dostosowanych obiektów</w:t>
      </w:r>
    </w:p>
    <w:p w14:paraId="240F28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824"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6" w:name="_Toc241668220"/>
      <w:r>
        <w:rPr>
          <w:rFonts w:ascii="Calibri" w:hAnsi="Calibri" w:cs="Calibri"/>
          <w:sz w:val="32"/>
        </w:rPr>
        <w:t>Działanie FELU.07.06 Infrastruktura usług i integracji społecznej</w:t>
      </w:r>
      <w:bookmarkEnd w:id="56"/>
    </w:p>
    <w:p w14:paraId="240F28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8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EFRR.CP4.III - Wspieranie włączenia społeczno-gospodarczego społeczności marginalizowanych, gospodarstw domowych o niskich dochodach oraz grup w niekorzystnej sytuacji, w tym osób o szczególnych potrzebach, dzięki zintegrowanym działaniom obejmującym usługi mieszkaniowe i usługi społeczne</w:t>
      </w:r>
    </w:p>
    <w:p w14:paraId="240F28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8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20 978 551,00</w:t>
      </w:r>
    </w:p>
    <w:p w14:paraId="240F28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8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19 929 623,00</w:t>
      </w:r>
    </w:p>
    <w:p w14:paraId="240F28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8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125 - Infrastruktura mieszkaniowa dla migrantów, uchodźców i osób objętych ochroną międzynarodową lub ubiegających się o nią, 126 - Infrastruktura mieszkaniowa (inna niż dla migrantów, uchodźców i osób objętych ochroną międzynarodową lub ubiegających się o nią), 127 - Pozostała infrastruktura społeczna przyczyniająca się do włączenia społecznego</w:t>
      </w:r>
    </w:p>
    <w:p w14:paraId="240F28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8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Projekty w zakresie:</w:t>
      </w:r>
      <w:r>
        <w:br/>
        <w:t>a)</w:t>
      </w:r>
      <w:r>
        <w:tab/>
        <w:t>robót budowlanych i wyposażenia infrastruktury społecznej powiązanej z procesem integracji społecznej, aktywizacji społeczno-zawodowej, rozwoju usług w społeczności lokalnej i deinstytucjonalizacji usług w powiązaniu z działaniami EFS+ w ramach rozwoju usług społecznych i zdrowotnych w CS 4k),</w:t>
      </w:r>
      <w:r>
        <w:br/>
        <w:t>b)</w:t>
      </w:r>
      <w:r>
        <w:tab/>
        <w:t>robót budowlanych i wyposażenia infrastruktury społecznej na rzecz integracji społeczno-gospodarczej obywateli państw trzecich, w tym migrantów w powiązaniu z działaniami EFS+ w ramach rozwoju usług społecznych i zdrowotnych w CS 4k) oraz w ramach działań skierowanych do obywateli państw trzecich w CS 4i),</w:t>
      </w:r>
      <w:r>
        <w:br/>
        <w:t>c)</w:t>
      </w:r>
      <w:r>
        <w:tab/>
        <w:t>robót budowlanych i wyposażenia infrastruktury na potrzeby realizacji usług w społeczności lokalnej w szczególności na rzecz osób z niepełnosprawnościami, przewlekle chorych i osób starszych w powiązaniu z działaniami EFS+ w ramach rozwoju usług społecznych i zdrowotnych w CS 4k),</w:t>
      </w:r>
      <w:r>
        <w:br/>
        <w:t>d)</w:t>
      </w:r>
      <w:r>
        <w:tab/>
        <w:t>robót budowlanych i wyposażenia infrastruktury mieszkań treningowych i wspomaganych (w uzasadnionych przypadkach także zakup lokali mieszkalnych na przedmiotowe cele) skierowanej w szczególności dla osób opuszczających pieczę zastępczą, zakłady poprawcze lub młodzieżowe ośrodki wychowawcze, w powiązaniu z działaniami EFS+ w ramach rozwoju usług społecznych i zdrowotnych w CS 4k) oraz działań ukierunkowanych na deinstytucjonalizację pieczy zastępczej czy usług dla osób w kryzysie bezdomności w CS 4l),</w:t>
      </w:r>
      <w:r>
        <w:br/>
        <w:t>e)</w:t>
      </w:r>
      <w:r>
        <w:tab/>
        <w:t>robót budowlanych i wyposażenia infrastruktury mieszkań treningowych i wspomaganych, mieszkań z usługami/ze wsparciem (w uzasadnionych przypadkach także zakup lokali mieszkalnych na przedmiotowe cele) skierowanej dla cudzoziemców objętych indywidualnym planem integracji w powiązaniu z działaniami EFS+ w ramach rozwoju usług społecznych i zdrowotnych w CS 4k) oraz w ramach działań skierowanych do obywateli państw trzecich w CS 4i).</w:t>
      </w:r>
      <w:r>
        <w:br/>
        <w:t>2.</w:t>
      </w:r>
      <w:r>
        <w:tab/>
        <w:t>Wsparcie infrastruktury (mieszkania/lokale – z wyłączeniem budowy nowych obiektów) wykorzystywanej w ramach najmu socjalnego, w tym dla cudzoziemców objętych indywidualnym planem integracji w powiązaniu z działaniami EFS+ w ramach rozwoju usług społecznych i zdrowotnych w CS 4k) oraz w ramach działań skierowanych do obywateli państw trzecich w CS 4i).</w:t>
      </w:r>
      <w:r>
        <w:br/>
      </w:r>
      <w:r>
        <w:br/>
        <w:t>Wszystkie ww. działania będą komplementarne /realizowane w powiązaniu z działaniami zaplanowanymi do realizacji w ramach FERS m.in w zakresie kształcenia i doskonalenia zawodowego kadr opieki długoterminowej w aspekcie społecznym. Wsparcie infrastruktury mieszkaniowej będzie wdrażane w sposób zintegrowany z działaniami z obszarów edukacji, zdrowia, zatrudnienia i opieki społecznej, celem zapewnienia kompleksowego wsparcia.</w:t>
      </w:r>
      <w:r>
        <w:br/>
      </w:r>
      <w:r>
        <w:br/>
        <w:t>Ad.1</w:t>
      </w:r>
      <w:r>
        <w:br/>
        <w:t>1.</w:t>
      </w:r>
      <w:r>
        <w:tab/>
        <w:t>Wsparcie dla ZAZ oraz WTZ ze środków EFRR będzie mieć charakter warunkowy tj. będzie możliwe tylko o ile placówka otrzyma wsparcie z EFS+ zgodnie z warunkami wskazanymi w Programie w ramach CS 4h) oraz gdy będzie wynikało z RPDI.</w:t>
      </w:r>
      <w:r>
        <w:br/>
      </w:r>
      <w:r>
        <w:br/>
        <w:t>Ad.1 lit. d i e oraz 2:</w:t>
      </w:r>
      <w:r>
        <w:br/>
        <w:t>2.</w:t>
      </w:r>
      <w:r>
        <w:tab/>
        <w:t>Realizowane w ramach programu inwestycje w obiekty mieszkalne (w tym infrastruktura mieszkalnictwa o charakterze treningowym i wspomaganym, mieszkań z usługami/ze wsparciem oraz wykorzystywana w ramach najmu socjalnego) nie mogą przyczyniać się do segregacji przestrzennej grup marginalizowanych. Wsparte lokale nie powinny być zapewniane na obszarach odizolowanych od społeczności lokalnej i słabo skomunikowanych.</w:t>
      </w:r>
      <w:r>
        <w:br/>
      </w:r>
      <w:r>
        <w:br/>
        <w:t>Kluczowe warunki realizacji projektów:</w:t>
      </w:r>
      <w:r>
        <w:br/>
        <w:t>1.</w:t>
      </w:r>
      <w:r>
        <w:tab/>
        <w:t>Szczegółowe zasady kwalifikowalności wydatków określone zostaną w Regulaminie wyboru projektów.</w:t>
      </w:r>
      <w:r>
        <w:br/>
        <w:t>2.</w:t>
      </w:r>
      <w:r>
        <w:tab/>
        <w:t>Ze względu na horyzontalną zasadę deinstytucjonalizacji, środki europejskie mogą być przeznaczane wyłącznie na infrastrukturę placówek świadczących usługi w społeczności lokalnej, a więc z poszanowaniem zasad indywidualizacji wsparcia, zapewnienia osobom kontroli nad swoim życiem i decyzjami, które ich dotyczą, pierwszeństwa indywidualnych potrzeb mieszkańców przed wymaganiami organizacyjnymi. W związku z powyższym inwestycje infrastrukturalne w placówki świadczące całodobową opiekę długoterminową w instytucjonalnych formach są niedozwolone. Możliwe będą natomiast inwestycje z EFS+ pozwalające na świadczenie przez te placówki usług w społeczności lokalnej, polegających na realizowaniu (w oparciu o posiadane zasoby) działań poza dotychczasowymi zadaniami, w tym m.in. form wsparcia dziennego, środowiskowego, wsparcia wytchnieniowego, mieszkalnictwa wspomaganego i treningowego. Rozbudowa usług środowiskowych przy takich placówkach nie może wzmacniać form instytucjonalnych. Decyzje o udzieleniu wsparcia powinny być poprzedzone analizą dostępnych form świadczenia usług (tj. instytucjonalne, środowiskowe i w rodzinie) oraz uwzględniać indywidualne potrzeby jednostek, które będą odbiorcami usług (w tym preferowane przez nich opcje opieki). Jeśli opcje preferowane przez odbiorców usług nie są dostępne, priorytetem powinno być ich zapewnienie.</w:t>
      </w:r>
      <w:r>
        <w:br/>
        <w:t>3.</w:t>
      </w:r>
      <w:r>
        <w:tab/>
        <w:t>Warunkiem udzielenia wsparcia będzie zgodność projektu ze zdiagnozowanymi na poziomie regionu potrzebami, określonymi w ramach dokumentu „Mapa potrzeb w zakresie infrastruktury edukacyjnej i społecznej w województwie lubelskim”.</w:t>
      </w:r>
      <w:r>
        <w:br/>
        <w:t>4.</w:t>
      </w:r>
      <w:r>
        <w:tab/>
        <w:t>Rozwój usług społecznych na rzecz osób zagrożonych ubóstwem i wykluczeniem społecznym, wspierany ze środków EFRR, będzie zgodny z założeniami Konwencji o Prawach Osób Niepełnosprawnych (KPON), w tym Komentarzem ogólnym Nr 5 (2017) oraz Uwagami końcowymi dla Polski Komitetu ONZ ds. Praw Osób Niepełnosprawnych (CRPD), Strategią Rozwoju Usług Społecznych - polityka publiczna na lata 2021-2030 (z perspektywą do 2035 r.) i Strategią na Rzecz Osób z Niepełnosprawnościami 2021-2030, jak też z kierunkami wskazanymi w Krajowym Programie Przeciwdziałania Ubóstwu i Wykluczeniu Społecznemu (aktualizacja 2021-2027).</w:t>
      </w:r>
      <w:r>
        <w:br/>
        <w:t>5.</w:t>
      </w:r>
      <w:r>
        <w:tab/>
        <w:t>Premiowana będzie komplementarność wsparcia, w tym z EFS+.</w:t>
      </w:r>
      <w:r>
        <w:br/>
        <w:t>6.</w:t>
      </w:r>
      <w:r>
        <w:tab/>
        <w:t>Preferowane będą projekty wynikające ze strategii terytorialnych opracowanych przez partnerstwa JST w celu wdrażania Innego Instrumentu Terytorialnego (strategii rozwoju ponadlokalnego lub strategii IIT).</w:t>
      </w:r>
      <w:r>
        <w:br/>
        <w:t>7.</w:t>
      </w:r>
      <w:r>
        <w:tab/>
        <w:t>W ramach Działania przewidziano wsparcie działań społecznych, typowych dla EFS+ koniecznych do wdrożenia części operacji objętej EFRR i bezpośrednio z nią związanych. Wartość kosztów kwalifikowalnych niniejszych zadań nie może przekroczyć 15% współfinansowania unijnego projektu.</w:t>
      </w:r>
      <w:r>
        <w:br/>
        <w:t>8.</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9.</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10. Przewidywane wsparcie z Budżetu Państwa w ramach środków określonych w Kontrakcie Programowym dla Województwa Lubelskiego.</w:t>
      </w:r>
      <w:r>
        <w:br/>
        <w:t>11.</w:t>
      </w:r>
      <w:r>
        <w:tab/>
        <w:t>Warunkiem udzielenia wsparcia będzie zgodność projektu z Wytycznymi dotyczącymi realizacji projektów z udziałem środków Europejskiego Funduszu Społecznego Plus w regionalnych programach na lata 2021-2027.</w:t>
      </w:r>
      <w:r>
        <w:br/>
        <w:t xml:space="preserve">12. W przypadku typu projektu 1 d) i/lub 1 e), projekt powinien uwzględniać założenia "Standardów realizacji wsparcia w mieszkaniach z usługami/ze wsparciem w ramach Działania 8.5 Usługi społeczne programu Fundusze Europejskie dla Lubelskiego 2021-2027”.  </w:t>
      </w:r>
    </w:p>
    <w:p w14:paraId="240F28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8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8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8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8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8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8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8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28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8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8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8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8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8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8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8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1% - projekty współfinansowane z Budżetu Państwa; Projekty w części objętej pomocą publiczną: zgodnie z programami pomocy publicznej</w:t>
      </w:r>
    </w:p>
    <w:p w14:paraId="240F28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8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8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8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8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8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w:t>
      </w:r>
    </w:p>
    <w:p w14:paraId="240F28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8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i młodzież przebywające w pieczy zastępczej lub ją opuszczające, mieszkańcy obszarów o niezadowalającej dostępności do usług społecznych (w tym słabiej rozwiniętych gospodarczo i terenów wiejskich), osoby doświadczające przemocy, w tym przemocy w rodzinie, osoby lub rodziny wykluczone lub zagrożone ubóstwem i wykluczeniem społecznym, w tym osoby uciekające z terenu Ukrainy, oraz otoczenie tych osób (m.in. rodzina, środowisko lokalne), osoby narażone na umieszczenie w instytucjach całodobowych lub przebywające w instytucjach całodobowych, osoby potrzebujące interwencji kryzysowej, osoby usamodzielniane (w tym osoby dorosłe), osoby usamodzielniane i opuszczające pieczę zastępczą, osoby w kryzysie bezdomności i zagrożone wykluczeniem mieszkaniowym, osoby wymagające wsparcia w codziennym funkcjonowaniu, osoby z niepełnosprawnościami</w:t>
      </w:r>
    </w:p>
    <w:p w14:paraId="240F28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8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dostępność, infrastruktura, placówki_wsparcia_dziennego, sprzęt, usługi_społeczne, włączenie_społeczne</w:t>
      </w:r>
    </w:p>
    <w:p w14:paraId="240F28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8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8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8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8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8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WLWK-PLRO205 - Liczba wspartych obiektów, w których realizowane są usługi społeczne</w:t>
      </w:r>
    </w:p>
    <w:p w14:paraId="240F28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WLWK-RCO065 - Pojemność nowych lub zmodernizowanych lokali socjalnych</w:t>
      </w:r>
    </w:p>
    <w:p w14:paraId="240F28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8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WLWK-RCR067 - Roczna liczba użytkowników nowych lub zmodernizowanych lokali socjalnych</w:t>
      </w:r>
    </w:p>
    <w:p w14:paraId="240F28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WLWK-PLRR105 - Roczna liczba użytkowników obiektów świadczących usługi społeczne</w:t>
      </w:r>
    </w:p>
    <w:p w14:paraId="240F28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PROG-FELCR02 - Roczna liczba użytkowników nowych lub zmodernizowanych podmiotów realizujących usługi społeczne</w:t>
      </w:r>
    </w:p>
    <w:p w14:paraId="240F28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855"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7" w:name="_Toc241668221"/>
      <w:r>
        <w:rPr>
          <w:rFonts w:ascii="Calibri" w:hAnsi="Calibri" w:cs="Calibri"/>
          <w:sz w:val="32"/>
        </w:rPr>
        <w:t>Działanie FELU.07.07 Infrastruktura usług i integracji społecznej w ramach Zintegrowanych Inwestycji Terytorialnych</w:t>
      </w:r>
      <w:bookmarkEnd w:id="57"/>
    </w:p>
    <w:p w14:paraId="240F28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8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EFRR.CP4.III - Wspieranie włączenia społeczno-gospodarczego społeczności marginalizowanych, gospodarstw domowych o niskich dochodach oraz grup w niekorzystnej sytuacji, w tym osób o szczególnych potrzebach, dzięki zintegrowanym działaniom obejmującym usługi mieszkaniowe i usługi społeczne</w:t>
      </w:r>
    </w:p>
    <w:p w14:paraId="240F28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8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2 308 898,00</w:t>
      </w:r>
    </w:p>
    <w:p w14:paraId="240F28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8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2 193 453,00</w:t>
      </w:r>
    </w:p>
    <w:p w14:paraId="240F28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8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125 - Infrastruktura mieszkaniowa dla migrantów, uchodźców i osób objętych ochroną międzynarodową lub ubiegających się o nią, 126 - Infrastruktura mieszkaniowa (inna niż dla migrantów, uchodźców i osób objętych ochroną międzynarodową lub ubiegających się o nią), 127 - Pozostała infrastruktura społeczna przyczyniająca się do włączenia społecznego</w:t>
      </w:r>
    </w:p>
    <w:p w14:paraId="240F28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8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Projekty w zakresie:</w:t>
      </w:r>
      <w:r>
        <w:br/>
        <w:t>a)</w:t>
      </w:r>
      <w:r>
        <w:tab/>
        <w:t>robót budowlanych i wyposażenia infrastruktury społecznej powiązanej z procesem integracji społecznej, aktywizacji społeczno-zawodowej, rozwoju usług w społeczności lokalnej i deinstytucjonalizacji usług w powiązaniu z działaniami EFS+ w ramach rozwoju usług społecznych i zdrowotnych w CS 4k),</w:t>
      </w:r>
      <w:r>
        <w:br/>
        <w:t>b)</w:t>
      </w:r>
      <w:r>
        <w:tab/>
        <w:t>robót budowlanych i wyposażenia infrastruktury społecznej na rzecz integracji społeczno-gospodarczej obywateli państw trzecich, w tym migrantów w powiązaniu z działaniami EFS+ w ramach rozwoju usług społecznych i zdrowotnych w CS 4k) oraz w ramach działań skierowanych do obywateli państw trzecich w CS 4i),</w:t>
      </w:r>
      <w:r>
        <w:br/>
        <w:t>c)</w:t>
      </w:r>
      <w:r>
        <w:tab/>
        <w:t>robót budowlanych i wyposażenia infrastruktury na potrzeby realizacji usług w społeczności lokalnej w szczególności na rzecz osób z niepełnosprawnościami, przewlekle chorych i osób starszych w powiązaniu z działaniami EFS+ w ramach rozwoju usług społecznych i zdrowotnych w CS 4k),</w:t>
      </w:r>
      <w:r>
        <w:br/>
        <w:t>d)</w:t>
      </w:r>
      <w:r>
        <w:tab/>
        <w:t>robót budowlanych i wyposażenia infrastruktury mieszkań treningowych i wspomaganych (w uzasadnionych przypadkach także zakup lokali mieszkalnych na przedmiotowe cele) skierowanej w szczególności dla osób opuszczających pieczę zastępczą, zakłady poprawcze lub młodzieżowe ośrodki wychowawcze, w powiązaniu z działaniami EFS+ w ramach rozwoju usług społecznych i zdrowotnych w CS 4k) oraz działań ukierunkowanych na deinstytucjonalizację pieczy zastępczej czy usług dla osób w kryzysie bezdomności w CS 4l),</w:t>
      </w:r>
      <w:r>
        <w:br/>
        <w:t>e)</w:t>
      </w:r>
      <w:r>
        <w:tab/>
        <w:t>robót budowlanych i wyposażenia infrastruktury mieszkań o charakterze treningowym i wspomaganym, mieszkań z usługami/ze wsparciem (w uzasadnionych przypadkach także zakup lokali mieszkalnych na przedmiotowe cele) skierowanej dla cudzoziemców objętych indywidualnym planem integracji w powiązaniu z działaniami EFS+ w ramach rozwoju usług społecznych i zdrowotnych w CS 4k) oraz w ramach działań skierowanych do obywateli państw trzecich w CS 4i).</w:t>
      </w:r>
      <w:r>
        <w:br/>
        <w:t>2.</w:t>
      </w:r>
      <w:r>
        <w:tab/>
        <w:t>Wsparcie infrastruktury (mieszkania/lokale – z wyłączeniem budowy nowych obiektów) wykorzystywanej w ramach najmu socjalnego, w tym dla cudzoziemców objętych indywidualnym planem integracji w powiązaniu z działaniami EFS+ w ramach rozwoju usług społecznych i zdrowotnych w CS 4k) oraz w ramach działań skierowanych do obywateli państw trzecich w CS 4i).</w:t>
      </w:r>
      <w:r>
        <w:br/>
      </w:r>
      <w:r>
        <w:br/>
        <w:t>Wszystkie ww. działania będą komplementarne/realizowane w powiązaniu z działaniami zaplanowanymi do realizacji w ramach FERS m.in. w zakresie kształcenia i doskonalenia zawodowego kadr opieki długoterminowej w aspekcie społecznym. Wsparcie infrastruktury mieszkaniowej będzie wdrażane w sposób zintegrowany z działaniami z obszarów edukacji, zdrowia, zatrudnienia i opieki społecznej, celem zapewnienia kompleksowego wsparcia.</w:t>
      </w:r>
      <w:r>
        <w:br/>
      </w:r>
      <w:r>
        <w:br/>
        <w:t>Ad.1</w:t>
      </w:r>
      <w:r>
        <w:br/>
        <w:t>Wsparcie dla ZAZ oraz WTZ ze środków EFRR będzie mieć charakter warunkowy tj. będzie możliwe tylko o ile placówka otrzyma wsparcie z EFS+ zgodnie z warunkami wskazanymi w Programie w ramach CS 4h) oraz gdy będzie wynikało z RPDI.</w:t>
      </w:r>
      <w:r>
        <w:br/>
        <w:t>Ad.1 lit. d i e oraz 2:</w:t>
      </w:r>
      <w:r>
        <w:br/>
        <w:t>Realizowane w ramach programu inwestycje w obiekty mieszkalne (w tym infrastruktura mieszkalnictwa o charakterze treningowym i wspomaganym, mieszkań z usługami/ze wsparciem oraz wykorzystywanego w ramach najmu socjalnego) nie mogą przyczyniać się do segregacji przestrzennej grup marginalizowanych. Wsparte lokale nie powinny być zapewniane na obszarach odizolowanych od społeczności lokalnej i słabo skomunikowanych.</w:t>
      </w:r>
      <w:r>
        <w:br/>
        <w:t>Kluczowe warunki realizacji projektów:</w:t>
      </w:r>
      <w:r>
        <w:br/>
        <w:t>1.</w:t>
      </w:r>
      <w:r>
        <w:tab/>
        <w:t>Szczegółowe zasady kwalifikowalności wydatków określone zostaną w Regulaminie wyboru projektów.</w:t>
      </w:r>
      <w:r>
        <w:br/>
        <w:t>2.</w:t>
      </w:r>
      <w:r>
        <w:tab/>
        <w:t>Realizowane przedsięwzięcia muszą zostać zidentyfikowane w strategii terytorialnej będącej podstawą realizacji ZIT, pozytywnie zaopiniowanej pod kątem możliwości jej finansowania w ramach Programu, przez IZ.</w:t>
      </w:r>
      <w:r>
        <w:br/>
        <w:t>3.</w:t>
      </w:r>
      <w:r>
        <w:tab/>
        <w:t>Realizowane inwestycje muszą mieć charakter zintegrowany, tj. muszą wpisywać się w cele rozwoju obszaru funkcjonalnego objętego instrumentem i być ukierunkowane na rozwiązywanie wspólnych problemów rozwojowych – projekt musi mieć wpływ na więcej niż 1 gminę w MOF oraz jego realizacja musi być uzasadniona w części diagnostycznej oraz w części kierunkowej strategii. Inwestycje te muszą spełniać jeden z warunków: muszą być projektem partnerskim w rozumieniu art. 39 ustawy wdrożeniowej lub deklarowany powinien być wspólny efekt, rezultat lub produkt końcowy projektu, tj. wspólne wykorzystanie stworzonej w jego ramach infrastruktury.</w:t>
      </w:r>
      <w:r>
        <w:br/>
        <w:t>4.</w:t>
      </w:r>
      <w:r>
        <w:tab/>
        <w:t>Ze względu na horyzontalną zasadę deinstytucjonalizacji, środki europejskie mogą być przeznaczane wyłącznie na infrastrukturę placówek świadczących usługi w społeczności lokalnej, a więc z poszanowaniem zasad indywidualizacji wsparcia, zapewnienia osobom kontroli nad swoim życiem i decyzjami, które ich dotyczą, pierwszeństwa indywidualnych potrzeb mieszkańców przed wymaganiami organizacyjnymi. W związku z powyższym inwestycje infrastrukturalne w placówki świadczące całodobową opiekę długoterminową w instytucjonalnych formach są niedozwolone. Możliwe będą natomiast inwestycje z EFS+ pozwalające na świadczenie przez te placówki usług w społeczności lokalnej, polegających na realizowaniu (w oparciu o posiadane zasoby) działań poza dotychczasowymi zadaniami, w tym m.in. form wsparcia dziennego, środowiskowego, wsparcia wytchnieniowego, mieszkalnictwa wspomaganego. Rozbudowa usług środowiskowych przy takich placówkach nie może wzmacniać form instytucjonalnych. Decyzje o udzieleniu wsparcia powinny być poprzedzone analizą dostępnych form świadczenia usług (tj. instytucjonalne, środowiskowe i w rodzinie) oraz uwzględniać indywidualne potrzeby jednostek, które będą odbiorcami usług (w tym preferowane przez nich opcje opieki). Jeśli opcje preferowane przez odbiorców usług nie są dostępne, priorytetem powinno być ich zapewnienie.</w:t>
      </w:r>
      <w:r>
        <w:br/>
        <w:t>5.</w:t>
      </w:r>
      <w:r>
        <w:tab/>
        <w:t>Warunkiem udzielenia wsparcia będzie zgodność projektu ze zdiagnozowanymi na poziomie regionu potrzebami, określonymi w ramach dokumentu „Mapa potrzeb w zakresie infrastruktury edukacyjnej i społecznej w województwie lubelskim”.</w:t>
      </w:r>
      <w:r>
        <w:br/>
        <w:t>6.</w:t>
      </w:r>
      <w:r>
        <w:tab/>
        <w:t>Rozwój usług społecznych na rzecz osób zagrożonych ubóstwem i wykluczeniem społecznym, wspierany ze środków EFRR, będzie zgodny z założeniami Konwencji o Prawach Osób Niepełnosprawnych (KPON), w tym Komentarzem ogólnym Nr 5 (2017) oraz Uwagami końcowymi dla Polski Komitetu ONZ ds. Praw Osób Niepełnosprawnych (CRPD), Strategią Rozwoju Usług Społecznych - polityka publiczna na lata 2021-2030 (z perspektywą do 2035 r.) i Strategią  na Rzecz Osób z Niepełnosprawnościami 2021-2030, jak też z kierunkami wskazanymi w Krajowym Programie Przeciwdziałania Ubóstwu i Wykluczeniu Społecznemu (aktualizacja 2021-2027).</w:t>
      </w:r>
      <w:r>
        <w:br/>
        <w:t>7.</w:t>
      </w:r>
      <w:r>
        <w:tab/>
        <w:t>W ramach Działania przewidziano wsparcie działań społecznych, typowych dla EFS+ koniecznych do wdrożenia części operacji objętej EFRR i bezpośrednio z nią związanych. Wartość kosztów kwalifikowalnych niniejszych zadań nie może przekroczyć 15% współfinansowania unijnego projektu.</w:t>
      </w:r>
      <w:r>
        <w:br/>
        <w:t>8.</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9.</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10. Warunkiem udzielenia  wsparcia będzie zgodność projektu z Wytycznymi dotyczącymi realizacji projektów z udziałem środków Europejskiego Funduszu Społecznego Plus w regionalnych programach na lata 2021-2027.</w:t>
      </w:r>
      <w:r>
        <w:br/>
        <w:t xml:space="preserve">11. W  przypadku typu projektu 1 d) i/lub 1 e), projekt powinien uwzględniać założenia „Standardów realizacji wsparcia w mieszkaniach z usługami/ze wsparciem w ramach Działania 8.5 Usługi społeczne programu Fundusze Europejskie dla Lubelskiego 2021-2027”.  </w:t>
      </w:r>
    </w:p>
    <w:p w14:paraId="240F28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8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8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8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8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8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8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8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28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8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8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8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8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8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8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8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8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8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8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8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8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8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Zintegrowane Inwestycje Terytorialne (ZIT)</w:t>
      </w:r>
    </w:p>
    <w:p w14:paraId="240F28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8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28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8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dostępność, infrastruktura, placówki_wsparcia_dziennego, sprzęt, usługi_społeczne, włączenie_społeczne, Zintegrowane_Inwestycje_Terytorialne</w:t>
      </w:r>
    </w:p>
    <w:p w14:paraId="240F28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8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8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8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8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8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WLWK-PLRO205 - Liczba wspartych obiektów, w których realizowane są usługi społeczne</w:t>
      </w:r>
    </w:p>
    <w:p w14:paraId="240F28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8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WLWK-RCO065 - Pojemność nowych lub zmodernizowanych lokali socjalnych</w:t>
      </w:r>
    </w:p>
    <w:p w14:paraId="240F28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8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8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WLWK-RCR067 - Roczna liczba użytkowników nowych lub zmodernizowanych lokali socjalnych</w:t>
      </w:r>
    </w:p>
    <w:p w14:paraId="240F28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WLWK-PLRR105 - Roczna liczba użytkowników obiektów świadczących usługi społeczne</w:t>
      </w:r>
    </w:p>
    <w:p w14:paraId="240F28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PROG-FELCR02 - Roczna liczba użytkowników nowych lub zmodernizowanych podmiotów realizujących usługi społeczne</w:t>
      </w:r>
    </w:p>
    <w:p w14:paraId="240F28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888"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8" w:name="_Toc241668222"/>
      <w:r>
        <w:rPr>
          <w:rFonts w:ascii="Calibri" w:hAnsi="Calibri" w:cs="Calibri"/>
          <w:sz w:val="32"/>
        </w:rPr>
        <w:t>Działanie FELU.07.08 Infrastruktura ochrony zdrowia</w:t>
      </w:r>
      <w:bookmarkEnd w:id="58"/>
    </w:p>
    <w:p w14:paraId="240F28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8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 - Zapewnianie równego dostępu do opieki zdrowotnej i wspieranie odporności systemów opieki zdrowotnej, w tym podstawowej opieki zdrowotnej, oraz wspieranie przechodzenia od opieki instytucjonalnej do opieki rodzinnej i środowiskowej</w:t>
      </w:r>
    </w:p>
    <w:p w14:paraId="240F28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8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72 143 235,00</w:t>
      </w:r>
    </w:p>
    <w:p w14:paraId="240F28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8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68 536 073,00</w:t>
      </w:r>
    </w:p>
    <w:p w14:paraId="240F28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8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128 - Infrastruktura zdrowotna, 129 - Wyposażenie opieki zdrowotnej</w:t>
      </w:r>
    </w:p>
    <w:p w14:paraId="240F28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8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Wdrożenie standardów dostępności w POZ w celu poprawy dostępności placówek POZ dla osób ze szczególnymi potrzebami w obszarze architektonicznym, cyfrowym, komunikacyjnym i organizacyjnym.</w:t>
      </w:r>
      <w:r>
        <w:br/>
        <w:t>2.</w:t>
      </w:r>
      <w:r>
        <w:tab/>
        <w:t>Rozwój POZ/AOS poprzez budowę, przebudowę i modernizację obiektów infrastruktury ochrony zdrowia i/lub ich wyposażenie, m.in. w sprzęt medyczny, w celu poprawy dostępu do świadczeń, w tym przede wszystkim na obszarach słabiej rozwiniętych gospodarczo i terenach wiejskich.</w:t>
      </w:r>
      <w:r>
        <w:br/>
        <w:t>3.</w:t>
      </w:r>
      <w:r>
        <w:tab/>
        <w:t>Wsparcie procesu deinstytucjonalizacji usług zdrowotnych w zakresie opieki długoterminowej świadczonej w formie środowiskowej (w tym dziennej, domowej, paliatywnej i hospicyjnej) oraz środowiskowej opieki psychiatrycznej i Centrów Zdrowia Psychicznego poprzez budowę, przebudowę i modernizację obiektów infrastruktury ochrony zdrowia i/lub ich wyposażenie, m.in. w sprzęt medyczny</w:t>
      </w:r>
      <w:r>
        <w:br/>
        <w:t>4.</w:t>
      </w:r>
      <w:r>
        <w:tab/>
        <w:t>Wzmocnienie ambulatoryjnej opieki specjalistycznej, w tym pozaszpitalnej oraz poprawa dostępności do opieki jednego dnia poprzez budowę, przebudowę, modernizację i/lub wyposażenie, m.in. w sprzęt medyczny.</w:t>
      </w:r>
      <w:r>
        <w:br/>
        <w:t>Każde z ww. działań będzie komplementarne/realizowane w powiązaniu z działaniami zaplanowanymi do realizacji w ramach CS 4 k) – komplementarność wewnątrzprogramowa oraz z FERS w zakresie kształcenia i doskonalenia zawodowego kadr medycznych oraz przedstawicieli innych zawodów związanych z ochroną zdrowia.</w:t>
      </w:r>
      <w:r>
        <w:br/>
        <w:t>Kluczowe warunki realizacji projektów:</w:t>
      </w:r>
      <w:r>
        <w:br/>
        <w:t>1.</w:t>
      </w:r>
      <w:r>
        <w:tab/>
        <w:t>Szczegółowe zasady kwalifikowalności wydatków określone zostaną w Regulaminie wyboru projektów.</w:t>
      </w:r>
      <w:r>
        <w:br/>
        <w:t>2.</w:t>
      </w:r>
      <w:r>
        <w:tab/>
        <w:t>Wyłączeniu ze wsparcia podlegają jednorazowe wyroby medyczne oraz produkty lecznicze.</w:t>
      </w:r>
      <w:r>
        <w:br/>
        <w:t>3.</w:t>
      </w:r>
      <w:r>
        <w:tab/>
        <w:t>Dopuszcza się możliwość dofinansowania wyposażenia socjalno-bytowego (jako niezbędnego elementu projektu) – przy czym nie może ono stanowić więcej niż 15% wydatków kwalifikowalnych w projekcie.</w:t>
      </w:r>
      <w:r>
        <w:br/>
        <w:t>4.</w:t>
      </w:r>
      <w:r>
        <w:tab/>
        <w:t>Dopuszcza się możliwość dofinasowania zakupu wyposażenia biurowego/ administracyjnego (jako niezbędnego elementu projektu) – przy czym nie może ono stanowić więcej niż 5% wydatków kwalifikowalnych w projekcie.</w:t>
      </w:r>
      <w:r>
        <w:br/>
        <w:t>5.</w:t>
      </w:r>
      <w:r>
        <w:tab/>
        <w:t>Wyłączeniu ze wsparcia podlegać będą projekty, które kwalifikują się do otrzymania wsparcia w ramach programów krajowych (w tym m.in. infrastruktura Państwowego Ratownictwa Medycznego).</w:t>
      </w:r>
      <w:r>
        <w:br/>
        <w:t>6.</w:t>
      </w:r>
      <w:r>
        <w:tab/>
        <w:t>Warunkiem realizacji wsparcia w zakresie opieki nad osobami z zaburzeniami i chorobami psychicznymi oraz opieki paliatywnej bądź hospicyjnej oraz w zakresie świadczeń pielęgnacyjnych i opiekuńczych wykonywanych w ramach opieki długoterminowej powinien być rozwój zdeinstytucjonalizowych form opieki nad pacjentem.</w:t>
      </w:r>
      <w:r>
        <w:br/>
        <w:t>7.</w:t>
      </w:r>
      <w:r>
        <w:tab/>
        <w:t>Do dofinansowania mogą być przyjęte projekty zgodne z dokumentem „Zdrowa przyszłość. Ramy strategiczne rozwoju systemu ochrony zdrowia na lata 2021-2027, z perspektywą do 2030 r.(w ramach Celu 1.1 [Dostępność] Zapewnienie równej dostępności do świadczeń zdrowotnych w ilości i czasie adekwatnych do uzasadnionych potrzeb zdrowotnych społeczeństwa oraz Celu 3.2 [Infrastruktura] Rozwój i modernizacja infrastruktury ochrony zdrowia zgodny z potrzebami zdrowotnymi społeczeństwa) wraz z załącznikami dotyczącymi deinstytucjonalizacji opieki nad osobami starszymi i opieki nad osobami z zaburzeniami psychicznymi.</w:t>
      </w:r>
      <w:r>
        <w:br/>
        <w:t>8.</w:t>
      </w:r>
      <w:r>
        <w:tab/>
        <w:t>Do dofinansowania mogą być przyjęte projekty zgodne z Mapą potrzeb zdrowotnych na okres od 1 stycznia 2022 r. do 31 grudnia 2026 r.</w:t>
      </w:r>
      <w:r>
        <w:br/>
        <w:t>9.</w:t>
      </w:r>
      <w:r>
        <w:tab/>
        <w:t>Do dofinansowania mogą być przyjęte projekty zgodne z Wojewódzkim Planem Transformacji.</w:t>
      </w:r>
      <w:r>
        <w:br/>
        <w:t>10.</w:t>
      </w:r>
      <w:r>
        <w:tab/>
        <w:t>Wsparcie infrastrukturalne ze środków EFRR co do zasady może zostać skierowane na finansowanie projektów realizowanych w oparciu o istniejącą bazę lokalową. W wyjątkowych sytuacjach, w przypadku braku możliwości adaptacji istniejących budynków możliwa będzie budowa nowych obiektów.</w:t>
      </w:r>
      <w:r>
        <w:br/>
        <w:t>11.</w:t>
      </w:r>
      <w:r>
        <w:tab/>
        <w:t>Działania realizowane w ramach celu powinny służyć wsparciu infrastrukturalnemu podmiotów leczniczych oraz współpracujących z nimi komórek organizacyjnych/funkcjonalnych (zakładów, pracowni i laboratoriów).</w:t>
      </w:r>
      <w:r>
        <w:br/>
        <w:t>12.</w:t>
      </w:r>
      <w:r>
        <w:tab/>
        <w:t>Co do zasady, infrastruktura wytworzona w ramach projektu może być wykorzystywana wyłącznie na rzecz udzielania świadczeń opieki zdrowotnej finansowanych ze środków publicznych.</w:t>
      </w:r>
      <w:r>
        <w:br/>
        <w:t>13.</w:t>
      </w:r>
      <w:r>
        <w:tab/>
        <w:t xml:space="preserve">Do dofinansowania  mogą być przyjęte projekty infrastrukturalne w zakresie reformy zdrowia psychicznego komplementarne do wsparcia z poziomu krajowego realizowane po uzyskaniu stanowiska Ministra Zdrowia i Komitetu Sterującego ds. koordynacji wsparcia w sektorze zdrowia. </w:t>
      </w:r>
      <w:r>
        <w:br/>
        <w:t>14.</w:t>
      </w:r>
      <w:r>
        <w:tab/>
        <w:t>Inwestycje będą skupione przede wszystkim na pierwszym i drugim poziomie referencyjnym i nie będą prowadziły do zwiększenia ogólnej liczby łóżek szpitalnych w systemie ochrony zdrowia, w tym w dziedzinie psychiatrii oraz psychiatrii dziecięcej. Trzeci poziom referencyjny może być wspierany jedynie w ramach kompleksowych projektów Centrów Zdrowia Psychicznego obejmujących inwestycje we wszystkie poziomy referencyjne.</w:t>
      </w:r>
      <w:r>
        <w:br/>
        <w:t>15.</w:t>
      </w:r>
      <w:r>
        <w:tab/>
        <w:t>Inwestycje w nowoczesną infrastrukturę i sprzęt szpitali, w tym wsparcie na rzecz diagnostyki będą możliwe, o ile będą nakierowane na rozwój opieki jednego dnia oraz wzmocnienie ambulatoryjnej opieki specjalistycznej.</w:t>
      </w:r>
      <w:r>
        <w:br/>
        <w:t>16.</w:t>
      </w:r>
      <w:r>
        <w:tab/>
        <w:t>Premiowane będą projekty zakładające poprawę dostępu do POZ i AOS (zwłaszcza w zakresie wzmocnienia roli POZ w dostarczaniu usług zdrowotnych) oraz wspierające rozwój opieki koordynowanej.</w:t>
      </w:r>
      <w:r>
        <w:br/>
        <w:t>17.</w:t>
      </w:r>
      <w:r>
        <w:tab/>
        <w:t>Wykluczeniu ze wsparcia podlegają inwestycje infrastrukturalne w placówki świadczące całodobową opiekę długoterminową w instytucjonalnych formach, w tym zakłady opiekuńczo-lecznicze oraz zakłady pielęgnacyjno-opiekuńcze.</w:t>
      </w:r>
      <w:r>
        <w:br/>
        <w:t>18.</w:t>
      </w:r>
      <w:r>
        <w:tab/>
        <w:t>Interwencja w obszarze zdrowia będzie podlegała uzgodnieniom zgodnie z przyjętym systemem koordynacji (z uwzględnieniem Komitetu Sterującego do spraw koordynacji wsparcia w sektorze zdrowia).</w:t>
      </w:r>
      <w:r>
        <w:br/>
        <w:t>19.</w:t>
      </w:r>
      <w:r>
        <w:tab/>
        <w:t>Projekty planowane do wsparcia muszą posiadać stosowną opinię o celowości inwestycji (OCI) - jeśli dotyczy.</w:t>
      </w:r>
      <w:r>
        <w:br/>
        <w:t>20.</w:t>
      </w:r>
      <w:r>
        <w:tab/>
        <w:t>Działania w zakresie onkologii powinny być zgodne z Narodową Strategią Onkologiczną.</w:t>
      </w:r>
      <w:r>
        <w:br/>
        <w:t>21.</w:t>
      </w:r>
      <w:r>
        <w:tab/>
        <w:t>W ramach Działania przewidziano wsparcie działań typowych dla EFS+ koniecznych do wdrożenia części operacji objętej EFRR i bezpośrednio z nią związanych. Wartość niniejszych zadań nie może przekroczyć 15% współfinansowania unijnego projektu.</w:t>
      </w:r>
      <w:r>
        <w:br/>
        <w:t>22.</w:t>
      </w:r>
      <w:r>
        <w:tab/>
        <w:t>Premiowana będzie komplementarność wsparcia, w tym z EFS+.</w:t>
      </w:r>
      <w:r>
        <w:br/>
        <w:t>23.</w:t>
      </w:r>
      <w:r>
        <w:tab/>
        <w:t>W KPO w obszarze zdrowia wdrażane będą reformy przede wszystkim w zakresie lecznictwa szpitalnego. EFS+ oraz EFRR będą uzupełniać i wzmacniać te reformy poprzez inwestycje w POZ i AOS. Projekty finansowane w ramach programu regionalnego ze środków EFRR lub EFS+ nie mogą powielać zakresu, na który dany podmiot otrzymał wsparcie w ramach KPO.</w:t>
      </w:r>
      <w:r>
        <w:br/>
        <w:t>24.</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25.</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26.  Przewidywane wsparcie z Budżetu Państwa w ramach środków określonych w Kontrakcie Programowym dla Województwa Lubelskiego.</w:t>
      </w:r>
    </w:p>
    <w:p w14:paraId="240F28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8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8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8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8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8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8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8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28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8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8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8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8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8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8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8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1% - projekty współfinansowane z Budżetu Państwa; Projekty w części objętej pomocą publiczną: zgodnie z programami pomocy publicznej</w:t>
      </w:r>
    </w:p>
    <w:p w14:paraId="240F28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8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8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8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8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8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ochrony zdrowia</w:t>
      </w:r>
    </w:p>
    <w:p w14:paraId="240F28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8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obszarów o niezadowalającej dostępności do specjalistycznych usług zdrowotnych, noworodki, dzieci i kobiety – w zakresie ambulatoryjnej opieki nad matką i dzieckiem, obywatele państw trzecich, migranci i uchodźcy (szczególnie osoby opuszczające Ukrainę w związku z agresją Federacji Rosyjskiej), osoby starsze, osoby wymagające wsparcia w codziennym funkcjonowaniu, osoby z kategorii wysokiego ryzyka socjalnego (bezrobotne, ubogie, opuszczające placówki), osoby z problemami zdrowia psychicznego, osoby zagrożone ubóstwem i wykluczeniem społecznym</w:t>
      </w:r>
    </w:p>
    <w:p w14:paraId="240F28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8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AOS, dostępność, dzienny_dom_opieki_medycznej_DDOM, infrastruktura_ochrony_zdrowia, poradnia, POZ, sprzęt_medyczny, usługi_zdrowotne, zdrowie, zdrowie_psychiczne</w:t>
      </w:r>
    </w:p>
    <w:p w14:paraId="240F28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8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8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8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8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8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WLWK-PLRO217 - Liczba wspartych istniejących Centrów Zdrowia Psychicznego</w:t>
      </w:r>
    </w:p>
    <w:p w14:paraId="240F28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WLWK-PLRO216 - Liczba wspartych nowych Centrów Zdrowia Psychicznego</w:t>
      </w:r>
    </w:p>
    <w:p w14:paraId="240F28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WLWK-PLRO202 - Liczba wspartych podmiotów leczniczych udzielających świadczeń w zakresie ambulatoryjnej opieki specjalistycznej (AOS)</w:t>
      </w:r>
    </w:p>
    <w:p w14:paraId="240F28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WLWK-PLRO204 - Liczba wspartych podmiotów leczniczych udzielających świadczeń w zakresie innym niż POZ, AOS, psychiatrii na I i II poziomie referencyjnym</w:t>
      </w:r>
    </w:p>
    <w:p w14:paraId="240F28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WLWK-PLRO203 - Liczba wspartych podmiotów leczniczych udzielających świadczeń w zakresie psychiatrii na I i II poziomie referencyjnym </w:t>
      </w:r>
    </w:p>
    <w:p w14:paraId="240F28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WLWK-PLRO201 - Liczba wspartych podmiotów wykonujących działalność leczniczą w rodzaju podstawowa opieka zdrowotna  (POZ)</w:t>
      </w:r>
    </w:p>
    <w:p w14:paraId="240F28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WLWK-RCO069 - Pojemność nowych lub zmodernizowanych placówek opieki zdrowotnej</w:t>
      </w:r>
    </w:p>
    <w:p w14:paraId="240F28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8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WLWK-PLRR112 - Liczba pacjentów objętych opieką długoterminową w formach zdeinstytucjonalizowanych (osoby/rok)</w:t>
      </w:r>
    </w:p>
    <w:p w14:paraId="240F28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WLWK-PLRR111 - Liczba porad udzielonych w ramach AOS wskutek inwestycji EFRR</w:t>
      </w:r>
    </w:p>
    <w:p w14:paraId="240F28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WLWK-RCR073 - Roczna liczba użytkowników nowych lub zmodernizowanych placówek opieki zdrowotnej</w:t>
      </w:r>
    </w:p>
    <w:p w14:paraId="240F28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PROG-FELCR11 - Liczba pacjentów objętych opieką długoterminową w formach zdeinstytucjonalizowanych</w:t>
      </w:r>
    </w:p>
    <w:p w14:paraId="240F28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PROG-FELCR10 - Liczba porad udzielonych w ramach AOS wskutek inwestycji EFRR</w:t>
      </w:r>
    </w:p>
    <w:p w14:paraId="240F28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8C0"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9" w:name="_Toc241668223"/>
      <w:r>
        <w:rPr>
          <w:rFonts w:ascii="Calibri" w:hAnsi="Calibri" w:cs="Calibri"/>
          <w:sz w:val="32"/>
        </w:rPr>
        <w:t>Działanie FELU.07.09 Zrównoważony rozwój dziedzictwa kulturowego</w:t>
      </w:r>
      <w:bookmarkEnd w:id="59"/>
    </w:p>
    <w:p w14:paraId="240F28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8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EFRR.CP4.VI - Wzmacnianie roli kultury i zrównoważonej turystyki w rozwoju gospodarczym, włączeniu społecznym i innowacjach społecznych</w:t>
      </w:r>
    </w:p>
    <w:p w14:paraId="240F28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8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66 862 105,00</w:t>
      </w:r>
    </w:p>
    <w:p w14:paraId="240F28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8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63 519 000,00</w:t>
      </w:r>
    </w:p>
    <w:p w14:paraId="240F28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8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166 - Ochrona, rozwój i promowanie dziedzictwa kulturowego i usług w dziedzinie kultury</w:t>
      </w:r>
    </w:p>
    <w:p w14:paraId="240F28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8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Wsparcie obiektów zabytkowych, zespołów tych zabytków wraz z ich otoczeniem do pełnienia funkcji związanych z kulturą poprzez prace konserwatorskie, restauratorskie, rewaloryzacyjne, renowacyjne, roboty budowlane oraz ich modernizację (z wyłączeniem rozbiórki), w tym:</w:t>
      </w:r>
      <w:r>
        <w:br/>
        <w:t>a)</w:t>
      </w:r>
      <w:r>
        <w:tab/>
        <w:t>zakup, modernizacja wyposażenia do prowadzenia działalności kulturalnej w obiektach będących celem projektu, roboty budowlane, modernizacja infrastruktury technicznej i sanitarnej (w tym z zakresu przystosowania obiektów do potrzeb osób z niepełnosprawnościami) - wyłącznie jako element projektu,</w:t>
      </w:r>
      <w:r>
        <w:br/>
        <w:t>b)</w:t>
      </w:r>
      <w:r>
        <w:tab/>
        <w:t>prace konserwatorskie zabytków ruchomych (wyłącznie jako element projektu),</w:t>
      </w:r>
      <w:r>
        <w:br/>
        <w:t>c)</w:t>
      </w:r>
      <w:r>
        <w:tab/>
        <w:t>zapewnienie niezbędnych warunków funkcjonowania instytucji i twórców kultury w sieci (wyłącznie jako element projektu).</w:t>
      </w:r>
      <w:r>
        <w:br/>
        <w:t>2.</w:t>
      </w:r>
      <w:r>
        <w:tab/>
        <w:t>Przedsięwzięcia infrastrukturalne w sektorze kultury ukierunkowane na rozwijanie aktywności społecznej m.in. poprzez tworzenie /adaptację /dostosowanie budynków i przestrzeni do realizacji oferty kulturalno-edukacyjnej, rozwój innowacji społecznych, w tym:</w:t>
      </w:r>
      <w:r>
        <w:br/>
        <w:t>a)</w:t>
      </w:r>
      <w:r>
        <w:tab/>
        <w:t>zakup, modernizacja wyposażenia do prowadzenia działalności kulturalnej w obiektach będących celem projektu, roboty budowlane, modernizacja infrastruktury technicznej i sanitarnej (w tym z zakresu przystosowania obiektów do potrzeb osób z niepełnosprawnościami) - wyłącznie jako element projektu,</w:t>
      </w:r>
      <w:r>
        <w:br/>
        <w:t>b)</w:t>
      </w:r>
      <w:r>
        <w:tab/>
        <w:t>prace konserwatorskie zabytków ruchomych (wyłącznie jako element projektu),</w:t>
      </w:r>
      <w:r>
        <w:br/>
        <w:t>c)</w:t>
      </w:r>
      <w:r>
        <w:tab/>
        <w:t>zapewnienie niezbędnych warunków funkcjonowania instytucji i twórców kultury w sieci (wyłącznie jako element projektu).</w:t>
      </w:r>
      <w:r>
        <w:br/>
        <w:t>3.</w:t>
      </w:r>
      <w:r>
        <w:tab/>
        <w:t>Zakup wyposażenia niezbędnego do prowadzenia działalności kulturalnej, w tym możliwość zapewnienia niezbędnych warunków funkcjonowania instytucji i twórców kultury w sieci (wyłącznie jako element projektu).</w:t>
      </w:r>
      <w:r>
        <w:br/>
        <w:t>4.</w:t>
      </w:r>
      <w:r>
        <w:tab/>
        <w:t>Projekty z zakresu ochrony dziedzictwa niematerialnego.</w:t>
      </w:r>
      <w:r>
        <w:br/>
        <w:t>5.</w:t>
      </w:r>
      <w:r>
        <w:tab/>
        <w:t>Projekty dotyczące nowych produktów w dziedzinie kultury.</w:t>
      </w:r>
      <w:r>
        <w:br/>
        <w:t>6.</w:t>
      </w:r>
      <w:r>
        <w:tab/>
        <w:t>Monitoring i zabezpieczenie obiektów infrastruktury kultury i dziedzictwa kulturowego na wypadek zagrożeń.</w:t>
      </w:r>
      <w:r>
        <w:br/>
        <w:t>7.</w:t>
      </w:r>
      <w:r>
        <w:tab/>
        <w:t>Rewaloryzacja i zachowanie zabytkowych ogrodów i parków.</w:t>
      </w:r>
      <w:r>
        <w:br/>
        <w:t>8.</w:t>
      </w:r>
      <w:r>
        <w:tab/>
        <w:t>Wsparcie dla fundacji kulturalnych, agencji i stowarzyszeń, które mobilizują nowych odbiorców za pomocą narzędzi i usług cyfrowych, ze szczególnym uwzględnieniem ułatwiania integracji osób znajdujących się w trudniejszej sytuacji.</w:t>
      </w:r>
      <w:r>
        <w:br/>
        <w:t>Ad.1-8, z wyłączeniem ad.7:</w:t>
      </w:r>
      <w:r>
        <w:br/>
        <w:t>1.</w:t>
      </w:r>
      <w:r>
        <w:tab/>
        <w:t>Przy wyborze projektów do dofinansowania obok elementów takich jak analiza ekonomiczna, analiza finansowa czy analiza ryzyka, zastosowanie znajdą aspekty dotyczące:</w:t>
      </w:r>
      <w:r>
        <w:br/>
        <w:t>•</w:t>
      </w:r>
      <w:r>
        <w:tab/>
        <w:t>analizy popytu i oceny potrzeb - wykazanie zapotrzebowania na dany projekt w celu ograniczenia ryzyka nieefektywności przedsięwzięcia,</w:t>
      </w:r>
      <w:r>
        <w:br/>
        <w:t>•</w:t>
      </w:r>
      <w:r>
        <w:tab/>
        <w:t>oddziaływania na bezpośrednie otoczenie i tworzenie miejsc pracy stanowiące dodatnie efekty ekonomiczne realizowanej inwestycji,</w:t>
      </w:r>
      <w:r>
        <w:br/>
        <w:t>•</w:t>
      </w:r>
      <w:r>
        <w:tab/>
        <w:t>planu działalności w okresie trwałości projektu oraz trwałości finansowej projektu- promowane będą rozwiązania wpływające na poprawę efektywności funkcjonowania obiektów/instytucji w długim okresie jak również rozwiązania uwzględniające dywersyfikację źródeł finansowania działalności, tj. pozyskiwanie zewnętrznych źródeł finansowania,</w:t>
      </w:r>
      <w:r>
        <w:br/>
        <w:t>•</w:t>
      </w:r>
      <w:r>
        <w:tab/>
        <w:t>respektowania zasady zrównoważonego oddziaływania na środowisko- zastosowanie innowacyjnych rozwiązań energooszczędnych przyczyniających się do zmniejszenia zapotrzebowania i zużycia energii, a w efekcie zmniejszenia ogólnych kosztów eksploatacji budynków,</w:t>
      </w:r>
      <w:r>
        <w:br/>
        <w:t>•</w:t>
      </w:r>
      <w:r>
        <w:tab/>
        <w:t>potrzeby rozwoju cyfrowego- ułatwianie dostępu odbiorcom za pomocą narzędzi i usług cyfrowych, ze szczególnym uwzględnieniem integracji osób znajdujących się w trudniejszej sytuacji,</w:t>
      </w:r>
      <w:r>
        <w:br/>
        <w:t>•</w:t>
      </w:r>
      <w:r>
        <w:tab/>
        <w:t>dostępności dla osób ze specjalnymi potrzebami- promowane będą projekty, w których jednym z elementów będą zmiany techniczne istniejącej infrastruktury, poprawiające dostępność dla osób z niepełnosprawnościami,</w:t>
      </w:r>
      <w:r>
        <w:br/>
        <w:t>•</w:t>
      </w:r>
      <w:r>
        <w:tab/>
        <w:t>stabilności i efektywności finansowej oraz odporności na kryzys,</w:t>
      </w:r>
      <w:r>
        <w:br/>
        <w:t>•</w:t>
      </w:r>
      <w:r>
        <w:tab/>
        <w:t>dążenia do realizacji założeń Nowego Europejskiego Bauhausu,</w:t>
      </w:r>
      <w:r>
        <w:br/>
        <w:t>•</w:t>
      </w:r>
      <w:r>
        <w:tab/>
        <w:t>wykorzystania zapisów dokumentu „Europejskie Zasady Jakości dotyczące finansowanych przez UE interwencji o potencjalnym wpływie na dziedzictwo kulturowe” (ICOMOS).</w:t>
      </w:r>
      <w:r>
        <w:br/>
        <w:t>Ad. 7</w:t>
      </w:r>
      <w:r>
        <w:br/>
        <w:t>1.</w:t>
      </w:r>
      <w:r>
        <w:tab/>
        <w:t>Przy wyborze projektów do dofinansowania obok elementów takich jak analiza ekonomiczna, analiza finansowa czy analiza ryzyka, zastosowanie znajdą aspekty dotyczące:</w:t>
      </w:r>
      <w:r>
        <w:br/>
        <w:t>•</w:t>
      </w:r>
      <w:r>
        <w:tab/>
        <w:t>analizy popytu i oceny potrzeb- wykazanie zapotrzebowania na dany projekt w celu ograniczenia ryzyka nieefektywności przedsięwzięcia,</w:t>
      </w:r>
      <w:r>
        <w:br/>
        <w:t>•</w:t>
      </w:r>
      <w:r>
        <w:tab/>
        <w:t>oddziaływania na bezpośrednie otoczenie i tworzenie miejsc pracy stanowiące dodatnie efekty ekonomiczne realizowanej inwestycji,</w:t>
      </w:r>
      <w:r>
        <w:br/>
        <w:t>•</w:t>
      </w:r>
      <w:r>
        <w:tab/>
        <w:t>planu działalności w okresie trwałości projektu oraz trwałości finansowej projektu- promowane będą rozwiązania wpływające na poprawę efektywności funkcjonowania obiektów/instytucji w długim okresie jak również rozwiązania uwzględniające dywersyfikację źródeł finansowania działalności tj. pozyskiwanie zewnętrznych źródeł finansowania,</w:t>
      </w:r>
      <w:r>
        <w:br/>
        <w:t>•</w:t>
      </w:r>
      <w:r>
        <w:tab/>
        <w:t>respektowania zasady zrównoważonego oddziaływania na środowisko- zastosowanie innowacyjnych rozwiązań energooszczędnych przyczyniających się do zmniejszenia zapotrzebowania i zużycia energii, a w efekcie zmniejszenia ogólnych kosztów eksploatacji budynków,</w:t>
      </w:r>
      <w:r>
        <w:br/>
        <w:t>•</w:t>
      </w:r>
      <w:r>
        <w:tab/>
        <w:t>dostępności dla osób ze specjalnymi potrzebami- promowane będą projekty, w których jednym z elementów będą zmiany techniczne istniejącej infrastruktury, poprawiające dostępność dla osób z niepełnosprawnościami,</w:t>
      </w:r>
      <w:r>
        <w:br/>
        <w:t>•</w:t>
      </w:r>
      <w:r>
        <w:tab/>
        <w:t>stabilności i efektywności finansowej oraz odporności na kryzys.</w:t>
      </w:r>
      <w:r>
        <w:br/>
        <w:t>Kluczowe warunki realizacji projektów:</w:t>
      </w:r>
      <w:r>
        <w:br/>
        <w:t>1.</w:t>
      </w:r>
      <w:r>
        <w:tab/>
        <w:t>Szczegółowe zasady kwalifikowalności wydatków określone zostaną w Regulaminie wyboru projektów.</w:t>
      </w:r>
      <w:r>
        <w:br/>
        <w:t>2.</w:t>
      </w:r>
      <w:r>
        <w:tab/>
        <w:t>W sektorze kultury inwestycje w zakresie budowy nowych obiektów będą dopuszczalne tylko w uzasadnionych przypadkach. Wyjątek od powyższej zasady dotyczy odtworzenia zabudowy zdegradowanej w stopniu uniemożliwiającym jej regenerację/renowację (zastąpienie starego budynku nowym). W takim przypadku, wnioskodawca zobowiązany będzie do przedstawienia wiarygodnych analiz potwierdzających, iż stopień zdegradowania budynku uniemożliwia jego regenerację/renowację, w tym analiz potwierdzających efektywność kosztową takiego rozwiązania. Za wiarygodną analizę uznana będzie ekspertyza techniczna wykonana przez osobę posiadającą tytuł rzeczoznawcy budowlanego nadany przez właściwy organ samorządu zawodowego.</w:t>
      </w:r>
      <w:r>
        <w:br/>
        <w:t>3.</w:t>
      </w:r>
      <w:r>
        <w:tab/>
        <w:t>Przedmiotem projektów realizowanych w ramach wsparcia sektora kultury będą obiekty związane wyłącznie z funkcją kulturalną, tj. w skali roku przynajmniej 80% czasu lub powierzchni tej infrastruktury jest wykorzystywane do celów związanych z kulturą.</w:t>
      </w:r>
      <w:r>
        <w:br/>
        <w:t>4.</w:t>
      </w:r>
      <w:r>
        <w:tab/>
        <w:t>Inwestycje w elementy infrastruktury drogowej (w tym w parkingi) nie będą wspierane, chyba że stanowią nieodłączny element większego projektu, nie są one dominującym elementem tego projektu a ich koszt nie przekracza 15% kosztów kwalifikowalnych. W miastach projekty te nie mogą obejmować budowy nowych dróg lub parkingów oraz w odniesieniu do istniejących - zwiększenia ich pojemności lub przepustowości, ani nie mogą w inny sposób przyczyniać się do zwiększenia natężenia ruchu samochodowego.</w:t>
      </w:r>
      <w:r>
        <w:br/>
        <w:t>5.</w:t>
      </w:r>
      <w:r>
        <w:tab/>
        <w:t>Inwestycje o charakterze niekomercyjnym, niezarobkowym będą finansowane z dotacji.</w:t>
      </w:r>
      <w:r>
        <w:br/>
        <w:t>6.</w:t>
      </w:r>
      <w:r>
        <w:tab/>
        <w:t>Renowacja, konserwacja, rewaloryzacja i restauracja obiektów zabytkowych (w tym pomników) nie może być pojedynczą interwencją, tylko musi stanowić część większego przedsięwzięcia, które wiąże rozwój kultury z rozwojem gospodarczym, włączeniem społecznym i innowacjami społecznymi w skali regionu lub lokalnej.</w:t>
      </w:r>
      <w:r>
        <w:br/>
        <w:t>7.</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8.</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9. Przewidywane wsparcie z Budżetu Państwa w ramach środków określonych w Kontrakcie Programowym dla Województwa Lubelskiego.</w:t>
      </w:r>
    </w:p>
    <w:p w14:paraId="240F28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8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8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8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8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8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8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8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240F28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8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8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8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240F28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8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8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8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1% - projekty współfinansowane z Budżetu Państwa z zastrzeżeniem projektów objętych pomocą publiczną; Projekty w części objętej pomocą publiczną: zgodnie z programami pomocy publicznej</w:t>
      </w:r>
    </w:p>
    <w:p w14:paraId="240F28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8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8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8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8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8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wspierające biznes, Organizacje społeczne i związki wyznaniowe, Partnerstwa, Przedsiębiorstwa, Przedsiębiorstwa realizujące cele publiczne, Służby publiczne</w:t>
      </w:r>
    </w:p>
    <w:p w14:paraId="240F28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8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województwa, turyści</w:t>
      </w:r>
    </w:p>
    <w:p w14:paraId="240F28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8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dziedzictwo_kulturowe, instytucja_kultury, kultura, muzeum, ochrona_zabytków, szkoła_artystyczna, sztuka, teatr, zabytki</w:t>
      </w:r>
    </w:p>
    <w:p w14:paraId="240F28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8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8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8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8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8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WLWK-PLRO141 - Liczba instytucji kultury objętych wsparciem</w:t>
      </w:r>
    </w:p>
    <w:p w14:paraId="240F28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8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240F28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8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WLWK-PLRO143 - Liczba utworzonych punktów informacji turystycznej i infokiosków zapewniających obsługę w min. 2 językach obcych</w:t>
      </w:r>
    </w:p>
    <w:p w14:paraId="240F28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28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28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28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WLWK-PLRO140 - Liczba wspartych obiektów o charakterze niezabytkowym</w:t>
      </w:r>
    </w:p>
    <w:p w14:paraId="240F28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WLWK-PLRO144 - Liczba wspartych obiektów w miejscach dziedzictwa naturalnego</w:t>
      </w:r>
    </w:p>
    <w:p w14:paraId="240F28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28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WLWK-PLRO139 - Liczba zabytków nieruchomych objętych wsparciem</w:t>
      </w:r>
    </w:p>
    <w:p w14:paraId="240F28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WLWK-PLRO138 - Liczba zabytków ruchomych objętych wsparciem</w:t>
      </w:r>
    </w:p>
    <w:p w14:paraId="240F28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240F28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8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240F28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240F28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8FC"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0" w:name="_Toc241668224"/>
      <w:r>
        <w:rPr>
          <w:rFonts w:ascii="Calibri" w:hAnsi="Calibri" w:cs="Calibri"/>
          <w:sz w:val="32"/>
        </w:rPr>
        <w:t>Działanie FELU.07.10 Turystyczne Lubelskie</w:t>
      </w:r>
      <w:bookmarkEnd w:id="60"/>
    </w:p>
    <w:p w14:paraId="240F28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8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EFRR.CP4.VI - Wzmacnianie roli kultury i zrównoważonej turystyki w rozwoju gospodarczym, włączeniu społecznym i innowacjach społecznych</w:t>
      </w:r>
    </w:p>
    <w:p w14:paraId="240F28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9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43 101 051,00</w:t>
      </w:r>
    </w:p>
    <w:p w14:paraId="240F29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9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40 945 998,00</w:t>
      </w:r>
    </w:p>
    <w:p w14:paraId="240F29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9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165 - Ochrona, rozwój i promowanie publicznych walorów turystycznych i usług turystycznych</w:t>
      </w:r>
    </w:p>
    <w:p w14:paraId="240F29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9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Wsparcie tworzenia nowych, rozbudowa istniejących miejsc atrakcyjnych turystycznie poprzez roboty budowlane, modernizację, wyposażenie infrastruktury ułatwiającej dostęp do miejsc i obszarów atrakcyjnych turystycznie, m.in. infrastruktura zlokalizowana wokół istniejących zbiorników wodnych (kąpieliska, plaże, pomosty, mola, przystanie wodne, bulwary, ścieżki rowerowe, ścieżki edukacyjne i dydaktyczne, promenady).</w:t>
      </w:r>
      <w:r>
        <w:br/>
        <w:t>2.</w:t>
      </w:r>
      <w:r>
        <w:tab/>
        <w:t>Roboty budowlane, modernizacja szlaków turystycznych i wyposażenie ich w niezbędną infrastrukturę (w tym z zakresu przystosowania obiektów do potrzeb osób z niepełnosprawnościami).</w:t>
      </w:r>
      <w:r>
        <w:br/>
        <w:t>3.</w:t>
      </w:r>
      <w:r>
        <w:tab/>
        <w:t>Projekty dotyczące nowych produktów w dziedzinie turystyki wykorzystujące walory historyczne, kulturowe i przyrodnicze regionu.</w:t>
      </w:r>
      <w:r>
        <w:br/>
        <w:t>Kluczowe warunki realizacji projektów:</w:t>
      </w:r>
      <w:r>
        <w:br/>
        <w:t>1.</w:t>
      </w:r>
      <w:r>
        <w:tab/>
        <w:t>Szczegółowe zasady kwalifikowalności wydatków określone zostaną w Regulaminie wyboru projektów.</w:t>
      </w:r>
      <w:r>
        <w:br/>
        <w:t>2.</w:t>
      </w:r>
      <w:r>
        <w:tab/>
        <w:t>Wsparcie w obszarze turystyki nie będzie obejmować działań na rzecz budowy nowych obiektów kubaturowych - budynków.</w:t>
      </w:r>
      <w:r>
        <w:br/>
        <w:t>3.</w:t>
      </w:r>
      <w:r>
        <w:tab/>
        <w:t>Przedmiotem projektów realizowanych w ramach wsparcia sektora turystyki będą obiekty związane wyłącznie z funkcją turystyczną.</w:t>
      </w:r>
      <w:r>
        <w:br/>
        <w:t>4.</w:t>
      </w:r>
      <w:r>
        <w:tab/>
        <w:t>Inwestycje w elementy infrastruktury drogowej (w tym w parkingi) nie będą wspierane, chyba że stanowią nieodłączny element większego projektu, nie są one dominującym elementem tego projektu a ich koszt nie przekracza 15% kosztów kwalifikowalnych. W miastach projekty te nie mogą obejmować budowy nowych dróg lub parkingów oraz w odniesieniu do istniejących - zwiększenia ich pojemności lub przepustowości, ani nie mogą w inny sposób przyczyniać się do zwiększenia natężenia ruchu samochodowego.</w:t>
      </w:r>
      <w:r>
        <w:br/>
        <w:t>5.</w:t>
      </w:r>
      <w:r>
        <w:tab/>
        <w:t>W przypadku inwestycji w obszarze turystyki dopuszczone będą przedsięwzięcia realizowane na obszarze jednego regionu, skoordynowane z projektami w sąsiednich obszarach, unikając nakładania się i konkurencji oraz mające wpływ na stymulowanie aktywności turystycznej w regionie.</w:t>
      </w:r>
      <w:r>
        <w:br/>
        <w:t>6.</w:t>
      </w:r>
      <w:r>
        <w:tab/>
        <w:t>Wyłączeniu ze wsparcia w ramach sektora turystyki podlegają projekty o charakterze ponadregionalnym na obszarze programu krajowego Fundusze Europejskie dla Polski Wschodniej.</w:t>
      </w:r>
      <w:r>
        <w:br/>
        <w:t>7.</w:t>
      </w:r>
      <w:r>
        <w:tab/>
        <w:t>Przy wyborze projektów do dofinansowania obok elementów takich jak analiza ekonomiczna, analiza finansowa czy analiza ryzyka, zastosowanie znajdą aspekty dotyczące:</w:t>
      </w:r>
      <w:r>
        <w:br/>
        <w:t>a)</w:t>
      </w:r>
      <w:r>
        <w:tab/>
        <w:t>analizy popytu i oceny potrzeb - wykazanie zapotrzebowania na dany projekt w celu ograniczenia ryzyka nieefektywności przedsięwzięcia,</w:t>
      </w:r>
      <w:r>
        <w:br/>
        <w:t>b)</w:t>
      </w:r>
      <w:r>
        <w:tab/>
        <w:t>oddziaływania na bezpośrednie otoczenie i tworzenie miejsc pracy stanowiące dodatnie efekty ekonomiczne realizowanej inwestycji,</w:t>
      </w:r>
      <w:r>
        <w:br/>
        <w:t>c)</w:t>
      </w:r>
      <w:r>
        <w:tab/>
        <w:t>planu działalności w okresie trwałości projektu oraz trwałości finansowej projektu- promowane będą rozwiązania wpływające na poprawę efektywności funkcjonowania obiektów/instytucji w długim okresie jak również rozwiązania uwzględniające dywersyfikację źródeł finansowania działalności tj. pozyskiwanie zewnętrznych źródeł finansowania,</w:t>
      </w:r>
      <w:r>
        <w:br/>
        <w:t>d)</w:t>
      </w:r>
      <w:r>
        <w:tab/>
        <w:t>respektowania zasady zrównoważonego oddziaływania na środowisko- zastosowanie innowacyjnych rozwiązań energooszczędnych przyczyniających się do zmniejszenia zapotrzebowania i zużycia energii, a w efekcie zmniejszenia ogólnych kosztów eksploatacji budynków,</w:t>
      </w:r>
      <w:r>
        <w:br/>
        <w:t>e)</w:t>
      </w:r>
      <w:r>
        <w:tab/>
        <w:t>potrzeby rozwoju cyfrowego- ułatwianie dostępu odbiorcom za pomocą narzędzi i usług cyfrowych, ze szczególnym uwzględnieniem integracji osób znajdujących się w trudniejszej sytuacji,</w:t>
      </w:r>
      <w:r>
        <w:br/>
        <w:t>f)</w:t>
      </w:r>
      <w:r>
        <w:tab/>
        <w:t>dostępności dla osób ze specjalnymi potrzebami- promowane będą projekty, w których jednym z elementów będą zmiany techniczne istniejącej infrastruktury, poprawiające dostępność dla osób z niepełnosprawnościami,</w:t>
      </w:r>
      <w:r>
        <w:br/>
        <w:t>g)</w:t>
      </w:r>
      <w:r>
        <w:tab/>
        <w:t>stabilności i efektywności finansowej oraz odporności na kryzys.</w:t>
      </w:r>
      <w:r>
        <w:br/>
        <w:t>8.</w:t>
      </w:r>
      <w:r>
        <w:tab/>
        <w:t>Wsparcie w ramach Działania nie może być udzielone w zakresie, w jakim jest wykluczone w art. 1 ust. 2 - 5 Rozporządzenia Komisji (UE) NR 651/2014 z dnia 17 czerwca 2014 r. uznającym niektóre rodzaje pomocy za zgodne z rynkiem wewnętrznym w zastosowaniu art. 107i 108 Traktatu oraz w art. 1 ust. 1 Rozporządzenia Komisji (UE) nr 2023/2831 z dnia 13 grudnia 2023 r. w sprawie stosowania art. 107 i 108 Traktatu o funkcjonowaniu Unii Europejskiej do pomocy de minimis.</w:t>
      </w:r>
      <w:r>
        <w:br/>
        <w:t>9.</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10.   Przewidywane wsparcie z Budżetu Państwa w ramach środków określonych w Kontrakcie Programowym dla Województwa Lubelskiego.</w:t>
      </w:r>
    </w:p>
    <w:p w14:paraId="240F29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9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9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9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9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9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9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9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 Rozporządzenie Ministra Funduszy i Polityki Regionalnej z dnia 24 sierpnia 2023 r. w sprawie udzielania pomocy inwestycyjnej na infrastrukturę sportową i wielofunkcyjną infrastrukturę rekreacyjną w ramach regionalnych programów na lata 2021–2027 (Dz.U. 2023 poz. 1818)</w:t>
      </w:r>
    </w:p>
    <w:p w14:paraId="240F29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9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9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9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9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9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29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9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1% - projekty współfinansowane z Budżetu Państwa; Projekty w części objętej pomocą publiczną: zgodnie z programami pomocy publicznej</w:t>
      </w:r>
    </w:p>
    <w:p w14:paraId="240F29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9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9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9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9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9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Partnerstwa, Przedsiębiorstwa, Przedsiębiorstwa realizujące cele publiczne, Służby publiczne</w:t>
      </w:r>
    </w:p>
    <w:p w14:paraId="240F29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9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województwa, turyści</w:t>
      </w:r>
    </w:p>
    <w:p w14:paraId="240F29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9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park_krajobrazowy, park_narodowy, rekreacja, rezerwat_przyrody, rzeki, ścieżki_rowerowe, szlaki_edukacyjne, tereny_rekreacyjne, trasy_turystyczne, turystyka</w:t>
      </w:r>
    </w:p>
    <w:p w14:paraId="240F29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9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9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9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9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9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WLWK-PLRO136 - Długość odnowionych szlaków turystycznych</w:t>
      </w:r>
    </w:p>
    <w:p w14:paraId="240F29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WLWK-PLRO137 - Długość utworzonych szlaków turystycznych</w:t>
      </w:r>
    </w:p>
    <w:p w14:paraId="240F29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9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240F29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9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WLWK-PLRO143 - Liczba utworzonych punktów informacji turystycznej i infokiosków zapewniających obsługę w min. 2 językach obcych</w:t>
      </w:r>
    </w:p>
    <w:p w14:paraId="240F29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29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29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29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29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240F29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PROG-FELCO18 - Liczba przebudowanych obiektów turystycznych i rekreacyjnych</w:t>
      </w:r>
    </w:p>
    <w:p w14:paraId="240F29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PROG-FELCO17 - Liczba wybudowanych obiektów turystycznych i rekreacyjnych</w:t>
      </w:r>
    </w:p>
    <w:p w14:paraId="240F29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9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240F29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240F29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2937"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61" w:name="_Toc241668225"/>
      <w:r>
        <w:rPr>
          <w:rFonts w:ascii="Calibri" w:hAnsi="Calibri" w:cs="Calibri"/>
          <w:i w:val="0"/>
          <w:sz w:val="32"/>
        </w:rPr>
        <w:t>Priorytet FELU.08 Zwiększanie spójności społecznej</w:t>
      </w:r>
      <w:bookmarkEnd w:id="61"/>
    </w:p>
    <w:p w14:paraId="240F29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29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29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29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240F29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29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240F29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29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29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29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284 198 685,00</w:t>
      </w:r>
    </w:p>
    <w:p w14:paraId="240F29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29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248 410 125,00</w:t>
      </w:r>
    </w:p>
    <w:p w14:paraId="240F29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29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9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947"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2" w:name="_Toc241668226"/>
      <w:r>
        <w:rPr>
          <w:rFonts w:ascii="Calibri" w:hAnsi="Calibri" w:cs="Calibri"/>
          <w:sz w:val="32"/>
        </w:rPr>
        <w:t>Działanie FELU.08.01 Aktywizacja społeczna i zawodowa</w:t>
      </w:r>
      <w:bookmarkEnd w:id="62"/>
    </w:p>
    <w:p w14:paraId="240F29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9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EFS+.CP4.H - Wspieranie aktywnego włączenia społecznego w celu promowania równości szans, niedyskryminacji i aktywnego uczestnictwa, oraz zwiększanie zdolności do zatrudnienia, w szczególności grup w niekorzystnej sytuacji</w:t>
      </w:r>
    </w:p>
    <w:p w14:paraId="240F29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9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29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9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31 761 623,00</w:t>
      </w:r>
    </w:p>
    <w:p w14:paraId="240F29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9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27 772 375,00</w:t>
      </w:r>
    </w:p>
    <w:p w14:paraId="240F29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9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152 - Działania na rzecz promowania równości szans i aktywnego udziału w życiu społecznym, 153 - Metody integracji z rynkiem pracy oraz powrotu na rynek pracy osób znajdujących się w niekorzystnej sytuacji</w:t>
      </w:r>
    </w:p>
    <w:p w14:paraId="240F29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9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Kompleksowe programy na rzecz aktywizacji społecznej i zawodowej osób, rodzin, środowisk lokalnych zagrożonych ubóstwem lub wykluczeniem społecznym oraz osób biernych zawodowo, w szczególności osób defaworyzowanych na rynku pracy, wykorzystujące instrumenty aktywizacji społecznej, zawodowej, edukacyjnej i zdrowotnej oraz wsparcie towarzyszące w postaci: poprawy kompetencji w zakresie spędzania czasu wolnego i rekreacji oraz uczestnictwa w kulturze, a także poprawy warunków mieszkaniowych, w tym w ramach podmiotów reintegracyjnych (CIS i KIS) włącznie z tworzeniem nowych podmiotów.</w:t>
      </w:r>
      <w:r>
        <w:br/>
        <w:t>2.</w:t>
      </w:r>
      <w:r>
        <w:tab/>
        <w:t>Kompleksowe programy na rzecz aktywizacji społecznej i zawodowej osób z niepełnosprawnościami, w szczególności wykorzystujące instrumenty aktywizacji społecznej, zawodowej, edukacyjnej i zdrowotnej, z uwzględnieniem potrzeb w zakresie asystencji osobistej, w tym także w ramach podmiotów reintegracyjnych (WTZ, ZAZ, CIS, KIS) włącznie z tworzeniem nowych podmiotów, za wyjątkiem WTZ.</w:t>
      </w:r>
      <w:r>
        <w:br/>
        <w:t>3.</w:t>
      </w:r>
      <w:r>
        <w:tab/>
        <w:t>Podnoszenie świadomości na temat przepisów i polityk antydyskryminacyjnych; współpraca ze społecznościami lokalnymi, społeczeństwem obywatelskim (w tym organizacjami pozarządowymi) i partnerami społecznymi w celu zwalczania dyskryminacji, w tym działania promocyjne, kampanie informacyjne i inicjatywy informacyjne z udziałem „ambasadorów” (osób uznanych i szanowanych w społeczności docelowej).</w:t>
      </w:r>
      <w:r>
        <w:br/>
        <w:t>4.</w:t>
      </w:r>
      <w:r>
        <w:tab/>
        <w:t>Projekty bezpośrednio związane ze zwalczaniem wszelkich form dyskryminacji – stworzenie systemu wsparcia dla osób dyskryminowanych (np. ofiar mowy nienawiści lub przemocy ze względu na orientację seksualną, pochodzenie etniczne, niepełnosprawność i inne powody).</w:t>
      </w:r>
      <w:r>
        <w:br/>
        <w:t>5.</w:t>
      </w:r>
      <w:r>
        <w:tab/>
        <w:t>Budowanie potencjału partnerów społecznych w obszarze włączenia społecznego w zakresie podnoszenia świadomości polityk i przepisów antydyskryminacyjnych, aktywnego uczestnictwa, oraz zwiększanie zdolności do zatrudnienia.</w:t>
      </w:r>
      <w:r>
        <w:br/>
        <w:t>6.</w:t>
      </w:r>
      <w:r>
        <w:tab/>
        <w:t>Budowanie potencjału organizacji społeczeństwa obywatelskiego w obszarze włączenia społecznego w zakresie podnoszenia świadomości polityk i przepisów antydyskryminacyjnych, aktywnego uczestnictwa, oraz zwiększanie zdolności do zatrudnienia.</w:t>
      </w:r>
      <w:r>
        <w:br/>
        <w:t>Kluczowe warunki realizacji projektów:</w:t>
      </w:r>
      <w:r>
        <w:br/>
        <w:t>Każdorazowo do ogłoszonego naboru projektów ION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projektów z udziałem środków Europejskiego Funduszu Społecznego Plus w regionalnych programach na lata 2021–2027,</w:t>
      </w:r>
      <w:r>
        <w:br/>
        <w:t>c)</w:t>
      </w:r>
      <w:r>
        <w:tab/>
        <w:t>Wytycznymi dot. realizacji zasad równościowych w ramach funduszy unijnych na lata 2021-2027,</w:t>
      </w:r>
      <w:r>
        <w:br/>
        <w:t>d)</w:t>
      </w:r>
      <w:r>
        <w:tab/>
        <w:t>Wytycznymi dot. monitorowania postępu rzeczowego realizacji programów na lata 2021-2027,</w:t>
      </w:r>
      <w:r>
        <w:br/>
        <w:t>e)</w:t>
      </w:r>
      <w:r>
        <w:tab/>
        <w:t>Wytycznymi dot. wyboru projektów na lata 2021-2027.</w:t>
      </w:r>
      <w:r>
        <w:br/>
        <w:t>2.</w:t>
      </w:r>
      <w:r>
        <w:tab/>
        <w:t>Zakłada się, że w efekcie wsparcia (nie dłużej niż 2 lata) w ramach ZAZ 5-10% jego uczestników wejdzie na otwarty rynek pracy/zarejestruje się w Urzędzie Pracy, natomiast w efekcie wsparcia (nie dłużej niż 2 lata) w ramach WTZ uczestnikom zostanie zaproponowana realistyczna ścieżka przejścia do ZAZ (typ projektu 2).</w:t>
      </w:r>
      <w:r>
        <w:br/>
        <w:t>3.</w:t>
      </w:r>
      <w:r>
        <w:tab/>
        <w:t>Ze środków EFS nie są finansowane bierne formy pomocy w postaci zasiłków. Świadczenia te mogą być uznane za wkład własny do projektu (typ projektu 1 i 2).</w:t>
      </w:r>
      <w:r>
        <w:br/>
        <w:t>4.</w:t>
      </w:r>
      <w:r>
        <w:tab/>
        <w:t>W ramach typów projektów 1, 2, 3 i 4 możliwe będzie także wsparcie m.in. w postaci pomocy prawnej, psychologicznej bądź terapii uzależnień (innej niż świadczonej na NFZ na podstawie ustawy o świadczeniach opieki zdrowotnej finansowanych ze środków publicznych). Przewiduje się również przeciwdziałanie wykluczeniu komunikacyjnemu. Działania aktywizacji społecznej prowadzone będą zarówno na rzecz osób jak i ich otoczenia.</w:t>
      </w:r>
      <w:r>
        <w:br/>
        <w:t>5.</w:t>
      </w:r>
      <w:r>
        <w:tab/>
        <w:t>W ramach wszystkich typów projektów nie będą realizowane działania służące rozwojowi przedsiębiorczości i samozatrudnienia.</w:t>
      </w:r>
      <w:r>
        <w:br/>
        <w:t>6.</w:t>
      </w:r>
      <w:r>
        <w:tab/>
        <w:t>W ramach wszystkich typów projektów 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7.</w:t>
      </w:r>
      <w:r>
        <w:tab/>
        <w:t>W ramach wszystkich typów projektów efektem szkolenia będzie nabycie kwalifikacji (konkretnych efektów uczenia się uzyskiwanych w toku szkolenia) potwierdzonych odpowiednim dokumentem (np. certyfikatem), który powinien zawierać informacje na temat uzyskanych przez uczestnika efektów uczenia się w rozumieniu wytycznych ministra właściwego do spraw rozwoju regionalnego dotyczących monitorowania postępu rzeczowego realizacji programów na lata 2021–2027 i LWK 2021 dla EFS+.</w:t>
      </w:r>
      <w:r>
        <w:br/>
        <w:t>8.</w:t>
      </w:r>
      <w:r>
        <w:tab/>
        <w:t>W ramach typów projektów 1 i 2 staże w projekcie są realizowane zgodnie z zaleceniem Rady z dnia 10 marca 2014 r. w sprawie ram jakości staży (Dz. Urz. UE C 88 z 27.03.2014, str. 1) oraz z Polskimi Ramami Jakości Praktyk i Staży.</w:t>
      </w:r>
      <w:r>
        <w:br/>
        <w:t>9.</w:t>
      </w:r>
      <w:r>
        <w:tab/>
        <w:t>W ramach wszystkich typów projektów 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10.</w:t>
      </w:r>
      <w:r>
        <w:tab/>
        <w:t>W ramach typów projektów 1, 2, 3 i 4 wsparcie powinno być skoncentrowane na osobach najbardziej oddalonych od rynku pracy, które nie są gotowe do podjęcia pracy (bierne zawodowo), doświadczających złożonych problemów powodujących ubóstwo i wykluczenie społeczne, które w pierwszej kolejności wymagają kompleksowego wsparcia z wykorzystaniem instrumentów aktywizacji społecznej lub zawodowej.</w:t>
      </w:r>
      <w:r>
        <w:br/>
        <w:t>11.</w:t>
      </w:r>
      <w:r>
        <w:tab/>
        <w:t>Typy projektów 3, 4 realizowane powinny być łącznie z typem 1 lub 2.</w:t>
      </w:r>
      <w:r>
        <w:br/>
        <w:t>12.</w:t>
      </w:r>
      <w:r>
        <w:tab/>
        <w:t>W przypadku łączonych typów projektów, typy nr 3 i 4 powinny stanowić odrębne zadania w planowanym budżecie projektu.</w:t>
      </w:r>
      <w:r>
        <w:br/>
        <w:t>13.</w:t>
      </w:r>
      <w:r>
        <w:tab/>
        <w:t>W ramach typów projektów 1, 2, 3 i 4, w projektach z zakresu aktywizacji społeczno-zawodowej, dana osoba nie otrzymuje jednocześnie wsparcia w więcej niż jednym projekcie z zakresu aktywizacji społeczno-zawodowej dofinansowanym ze środków EFS+, w tożsamym rodzajowo zakresie.</w:t>
      </w:r>
      <w:r>
        <w:br/>
        <w:t>14.</w:t>
      </w:r>
      <w:r>
        <w:tab/>
        <w:t>Zastosowane będą preferencje punktowe w naborach dla projektów, w których zawarto elementy współpracy ponadregionalnej, transgranicznej lub ponadnarodowej. W wybranych naborach konkurencyjnych premiowani będą beneficjenci wykazujący się doświadczeniem i/lub zaangażowaniem w prowadzone działania współpracy międzyregionalnej, transgranicznej i transnarodowej.</w:t>
      </w:r>
      <w:r>
        <w:br/>
        <w:t>15.</w:t>
      </w:r>
      <w:r>
        <w:tab/>
        <w:t>Zastosowane będą preferencje punktowe w naborach konkurencyjnych dla projektów wynikających z GPR.</w:t>
      </w:r>
      <w:r>
        <w:br/>
        <w:t>16.</w:t>
      </w:r>
      <w:r>
        <w:tab/>
        <w:t>Wnioskodawcą w ramach typu 5 mogą być wyłącznie podmioty spełniające definicję partnera społecznego.</w:t>
      </w:r>
      <w:r>
        <w:br/>
        <w:t>17.</w:t>
      </w:r>
      <w:r>
        <w:tab/>
        <w:t>Wnioskodawcą w ramach typu 6 mogą być wyłącznie podmioty spełniające definicję organizacji społeczeństwa obywatelskiego.</w:t>
      </w:r>
      <w:r>
        <w:br/>
        <w:t>18. Przewidywane wsparcie z Budżetu Państwa w ramach środków określonych w Kontrakcie Programowym dla Województwa Lubelskiego i zgodnie z zał. 33.</w:t>
      </w:r>
    </w:p>
    <w:p w14:paraId="240F29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9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9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9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9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9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9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9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9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9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9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9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9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9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9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9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w:t>
      </w:r>
    </w:p>
    <w:p w14:paraId="240F29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9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9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9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9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9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Partnerzy społeczni, Służby publiczne</w:t>
      </w:r>
    </w:p>
    <w:p w14:paraId="240F29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9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społeczeństwa obywatelskiego, osoby bierne zawodowo, osoby lub rodziny wykluczone społecznie, zagrożone ubóstwem lub wykluczeniem społecznym oraz ich otoczenie (m.in. rodzina, środowisko lokalne), osoby opuszczające zakłady karne, osoby z niepełnosprawnościami i ich otoczenie (m.in. rodzina, środowisko lokalne), osoby, o których mowa w art. 1 ust. 2 ustawy z dnia 13 czerwca 2003 r. o zatrudnieniu socjalnym, partnerzy społeczni</w:t>
      </w:r>
    </w:p>
    <w:p w14:paraId="240F29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9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centra_integracji_społecznej_CIS, dialog_społeczny, doradztwo_zawodowe, integracja_społeczna, kompetencje_społeczne, kompetencje_zawodowe, staże, szkolenie_zawodowe</w:t>
      </w:r>
    </w:p>
    <w:p w14:paraId="240F29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9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9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9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9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9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9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WLWK-PL0CO08 - Liczba organizacji partnerów społecznych objętych wsparciem</w:t>
      </w:r>
    </w:p>
    <w:p w14:paraId="240F29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WLWK-PL0CO05 - Liczba organizacji społeczeństwa obywatelskiego wspartych w co najmniej jednym z następujących obszarów: standardy i procedury zarządzania, refleksyjność, wydolność finansowa, rzecznictwo, jakość usług, współpraca międzysektorowa</w:t>
      </w:r>
    </w:p>
    <w:p w14:paraId="240F29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WLWK-PL0CO06 - Liczba organizacji społeczeństwa obywatelskiego wspartych w zakresie wdrażania nowych metod działania lub rodzajów usług</w:t>
      </w:r>
    </w:p>
    <w:p w14:paraId="240F29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240F29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9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WLWK-EECO02+04 - Liczba osób niezatrudnionych objętych wsparciem w programie</w:t>
      </w:r>
    </w:p>
    <w:p w14:paraId="240F29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9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9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240F29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9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9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9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WLWK-PL0CO09 - Liczba przedstawicieli organizacji partnerów społecznych objętych wsparciem</w:t>
      </w:r>
    </w:p>
    <w:p w14:paraId="240F29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WLWK-PL0CO07 - Liczba przedstawicieli organizacji społeczeństwa obywatelskiego (w tym wolontariuszy) objętych wsparciem w programie</w:t>
      </w:r>
    </w:p>
    <w:p w14:paraId="240F29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9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WLWK-PL0CR04 - Liczba organizacji partnerów społecznych, które zwiększyły swój potencjał</w:t>
      </w:r>
    </w:p>
    <w:p w14:paraId="240F29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WLWK-PL0CR02 - Liczba organizacji społeczeństwa obywatelskiego, które poprawiły lub wprowadziły nowe metody działania lub rodzaje usług</w:t>
      </w:r>
    </w:p>
    <w:p w14:paraId="240F29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WLWK-PL0CR01 - Liczba organizacji społeczeństwa obywatelskiego, które zwiększyły swój potencjał organizacyjny w co najmniej jednym z następujących obszarów: standardy i procedury zarządzania, refleksyjność, wydolność finansowa, rzecznictwo, jakość usług, współpraca międzysektorowa</w:t>
      </w:r>
    </w:p>
    <w:p w14:paraId="240F29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9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240F29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240F29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240F29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WLWK-PL0CR05 - Liczba przedstawicieli organizacji partnerów społecznych, którzy podnieśli kompetencje</w:t>
      </w:r>
    </w:p>
    <w:p w14:paraId="240F29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WLWK-PL0CR03 - Liczba przedstawicieli organizacji społeczeństwa obywatelskiego, którzy zdobyli nowe umiejętności, wiedzę lub uzyskali kwalifikacje</w:t>
      </w:r>
    </w:p>
    <w:p w14:paraId="240F29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98D"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3" w:name="_Toc241668227"/>
      <w:r>
        <w:rPr>
          <w:rFonts w:ascii="Calibri" w:hAnsi="Calibri" w:cs="Calibri"/>
          <w:sz w:val="32"/>
        </w:rPr>
        <w:t>Działanie FELU.08.02 Ekonomia społeczna</w:t>
      </w:r>
      <w:bookmarkEnd w:id="63"/>
    </w:p>
    <w:p w14:paraId="240F29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9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EFS+.CP4.H - Wspieranie aktywnego włączenia społecznego w celu promowania równości szans, niedyskryminacji i aktywnego uczestnictwa, oraz zwiększanie zdolności do zatrudnienia, w szczególności grup w niekorzystnej sytuacji</w:t>
      </w:r>
    </w:p>
    <w:p w14:paraId="240F29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9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20 531 768,00</w:t>
      </w:r>
    </w:p>
    <w:p w14:paraId="240F29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9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17 209 440,00</w:t>
      </w:r>
    </w:p>
    <w:p w14:paraId="240F29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9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138 - Wsparcie na rzecz ekonomii społecznej i przedsiębiorstw społecznych, 153 - Metody integracji z rynkiem pracy oraz powrotu na rynek pracy osób znajdujących się w niekorzystnej sytuacji</w:t>
      </w:r>
    </w:p>
    <w:p w14:paraId="240F29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9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Wsparcie tworzenia nowych miejsc pracy i utrzymania tych miejsc w PS.</w:t>
      </w:r>
      <w:r>
        <w:br/>
        <w:t>2.</w:t>
      </w:r>
      <w:r>
        <w:tab/>
        <w:t>Usługi wsparcia rozwoju ES dla PES i PS, w tym usługi animacyjne, inkubacyjne i biznesowe OWES.</w:t>
      </w:r>
      <w:r>
        <w:br/>
        <w:t>3.</w:t>
      </w:r>
      <w:r>
        <w:tab/>
        <w:t>Wsparcie realizacji indywidualnego procesu reintegracji w PS.</w:t>
      </w:r>
      <w:r>
        <w:br/>
        <w:t>4.</w:t>
      </w:r>
      <w:r>
        <w:tab/>
        <w:t xml:space="preserve">Działania w zakresie podnoszenia kwalifikacji i doświadczenia zawodowego pracowników PES. </w:t>
      </w:r>
      <w:r>
        <w:br/>
        <w:t>Kluczowe warunki realizacji projektów:</w:t>
      </w:r>
      <w:r>
        <w:br/>
        <w:t>Każdorazowo do ogłoszonego naboru projektów ION określi szczegółowe zasady realizacji wsparcia w zakresie poszczególnych typów projektów</w:t>
      </w:r>
      <w:r>
        <w:br/>
        <w:t>1.</w:t>
      </w:r>
      <w:r>
        <w:tab/>
        <w:t>Projekty realizowane będą zgodnie z Wytycznymi dot.:</w:t>
      </w:r>
      <w:r>
        <w:br/>
        <w:t>a.</w:t>
      </w:r>
      <w:r>
        <w:tab/>
        <w:t>kwalifikowalności wydatków na lata 2021-2027</w:t>
      </w:r>
      <w:r>
        <w:br/>
        <w:t>b.</w:t>
      </w:r>
      <w:r>
        <w:tab/>
        <w:t>realizacji zasad równościowych w ramach funduszy unijnych na lata 2021-2027</w:t>
      </w:r>
      <w:r>
        <w:br/>
        <w:t>c.</w:t>
      </w:r>
      <w:r>
        <w:tab/>
        <w:t>monitorowania postępu rzeczowego realizacji programów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t>
      </w:r>
      <w:r>
        <w:tab/>
        <w:t>Wsparcie w obszarze ES jest zgodne z ustawą z dnia 5 sierpnia 2022 r. o ekonomii społecznej oraz z „KPRES do 2030 roku. Ekonomia solidarności społecznej”.</w:t>
      </w:r>
      <w:r>
        <w:br/>
        <w:t>4.</w:t>
      </w:r>
      <w:r>
        <w:tab/>
        <w:t>Udział alokacji przeznaczonej na wsparcie finansowe tworzenia miejsc pracy w PS w ogólnej alokacji przeznaczonej na projekty OWES wynosi co najmniej 60%. Do 60% wlicza się wsparcie przyznawane w postaci stawek jednostkowych na utworzenie i utrzymanie miejsca pracy w PS oraz alokację przeznaczaną na wsparcie reintegracyjne.</w:t>
      </w:r>
      <w:r>
        <w:br/>
        <w:t>5.</w:t>
      </w:r>
      <w:r>
        <w:tab/>
        <w:t>Usługi wsparcia ES realizowane przez OWES są zgodne z art. 29 ustawy z dnia 5 sierpnia 2022 r. o ES.</w:t>
      </w:r>
      <w:r>
        <w:br/>
        <w:t>6.</w:t>
      </w:r>
      <w:r>
        <w:tab/>
        <w:t>Przewidywane wsparcie z Budżetu Państwa w ramach środków określonych w Kontrakcie Programowym dla Województwa Lubelskiego i zgodnie z zał. 33.</w:t>
      </w:r>
      <w:r>
        <w:br/>
        <w:t>Typ 1</w:t>
      </w:r>
      <w:r>
        <w:br/>
        <w:t>1.</w:t>
      </w:r>
      <w:r>
        <w:tab/>
        <w:t>Wsparcie finansowe na tworzenie i utrzymanie miejsc pracy w PS jest kwalifikowalne wyłącznie w formie stawek jednostkowych. Stawki jednostkowe na utworzenie i utrzymanie miejsca pracy można wykorzystać tylko łącznie, tj. PS nie może skorzystać tylko z jednej ze stawek.</w:t>
      </w:r>
      <w:r>
        <w:br/>
        <w:t>2.</w:t>
      </w:r>
      <w:r>
        <w:tab/>
        <w:t>Stawki jedn. dotyczą utworzenia nowego miejsca pracy i jego utrzymania przez 12 m-cy w PS lub w PES przekształcającym się w PS.</w:t>
      </w:r>
      <w:r>
        <w:br/>
        <w:t>3.</w:t>
      </w:r>
      <w:r>
        <w:tab/>
        <w:t>Wysokość stawek jedn. na tworzenie i utrzymanie miejsca pracy jest zgodna z Wytycznymi dotyczącymi realizacji projektów z udziałem środków EFS+ w regionalnych programach na lata 2021–2027 i zostanie każdorazowo określona w Regulaminie wyboru projektów.</w:t>
      </w:r>
      <w:r>
        <w:br/>
        <w:t>4.</w:t>
      </w:r>
      <w:r>
        <w:tab/>
        <w:t>Stawka jedn. na utworzenie miejsca pracy w PS obejmuje środki finansowe przyznane PS na utworzenie przez niego miejsca pracy dla osoby, która dzięki temu poprawi swój status na rynku pracy. W ramach wsparcia pokrywane są m.in. koszty składników majątku trwałego, instalacji i uruchomienia oraz ubezpieczenia i ochrony w okresie 12 m-cy finansowania miejsca pracy, w przypadku, kiedy zachodzi taka konieczność, wyposażenia miejsca pracy wraz z kosztami dostawy, instalacji i uruchomienia, dostosowania lub adaptacji (prace remontowo-wykończeniowe budynków i pomieszczeń), aktywów obrotowych i środków produkcji, zakupu wartości niematerialnych i prawnych, opłat związanych z uruchomieniem leasingu oraz kredytu inwestycyjnego.</w:t>
      </w:r>
      <w:r>
        <w:br/>
        <w:t>5.</w:t>
      </w:r>
      <w:r>
        <w:tab/>
        <w:t>Kwota stawki na utworzenie miejsca pracy jest wypłacana jednorazowo po podpisaniu umowy wsparcia. Miejsce pracy musi zostać utworzone do 3 m-cy od dnia wypłaty środków, a dla zapewnienia kwalifikowalności musi być następnie utrzymane przez 12 m-cy w ramach stawki na utrzymanie miejsca pracy. W przypadku braku utworzenia miejsca pracy w terminie do 3 m-cy od dnia wypłaty środków, stawka utworzenia miejsca pracy jest niekwalifikowalna w całości. Okres ten w uzasadnionych przypadkach może zostać wydłużony o dodatkowe 30 dni.</w:t>
      </w:r>
      <w:r>
        <w:br/>
        <w:t>6.</w:t>
      </w:r>
      <w:r>
        <w:tab/>
        <w:t>Stawka jedn. na utworzenie miejsca pracy w PS jest kwalifikowalna jeżeli osiągnięty zostanie określony dla niej wskaźnik, tj. liczba miejsc pracy utworzonych w przedsiębiorstwie społecznym.</w:t>
      </w:r>
      <w:r>
        <w:br/>
        <w:t>7.</w:t>
      </w:r>
      <w:r>
        <w:tab/>
        <w:t xml:space="preserve">Stawka jedn. na utrzymanie miejsca pracy w PS jest kwalifikowalna tylko łącznie ze stawką na utworzenie miejsca pracy. Wysokość stawki na utrzymanie miejsca pracy jest uzależniona od wymiaru etatu, tj. pełnego etatu, ¾ etatu, ½ etatu. </w:t>
      </w:r>
      <w:r>
        <w:br/>
        <w:t>8.</w:t>
      </w:r>
      <w:r>
        <w:tab/>
        <w:t>Stawka jedn. na utrzymanie miejsca pracy w PS obejmuje środki finans. przyznane PS na utrzymanie przez 12 m-cy (tj. od 1 do 12 m-cy) miejsca pracy, które zostało przez PS utworzone w ramach stawki na utworzenie miejsca pracy. Stawka obejmuje koszty funkcjonowania miejsca pracy w pierwszym okresie od utworzenia, tj. koszty zatrudnienia (w tym wynagrodzenia) osoby na nowoutworzonym miejscu pracy, koszty obowiązkowych opłat, takich jak np. składki na ubezpieczenie społ., zdrowotne, bieżące niezbędne wydatki dot. stanowiska pracy, bez których funkcjonowanie PS nie może się odbywać.</w:t>
      </w:r>
      <w:r>
        <w:br/>
        <w:t>9.</w:t>
      </w:r>
      <w:r>
        <w:tab/>
        <w:t>Indeksacja obu stawek jedn. będzie przeprowadzana corocznie w terminie do 30 kwietnia.</w:t>
      </w:r>
      <w:r>
        <w:br/>
        <w:t>10.</w:t>
      </w:r>
      <w:r>
        <w:tab/>
        <w:t>Wsparcie finansowe jest udzielane wyłącznie na tworzenie nowych miejsc pracy dla osób, o których mowa w art. 2 pkt 6 ustawy z dnia 5 sierpnia 2022 r. o ES.</w:t>
      </w:r>
      <w:r>
        <w:br/>
        <w:t>11.</w:t>
      </w:r>
      <w:r>
        <w:tab/>
        <w:t>W wyniku przyznania PS lub PES przekształcanemu w PS wsparcia finansowego na utworzenie i utrzymanie miejsca pracy dojdzie do zwiększenia ogólnej liczby miejsc pracy w tym podmiocie co najmniej o liczbę miejsc pracy, na którą przyznano dofinansowanie. Moment badania wzrostu liczby miejsc pracy, następuje na koniec okresu trwałości ostatniego miejsca pracy, na które przyznano PS wsparcie finansowe. Momentem odniesienia będzie data przyznania wsparcia finansowego na utworzenie miejsca pracy.</w:t>
      </w:r>
      <w:r>
        <w:br/>
        <w:t>12.</w:t>
      </w:r>
      <w:r>
        <w:tab/>
        <w:t>Osoby, dla których na stworzenie miejsca pracy udzielono wsparcia finansowego na utworzenie i utrzymanie miejsca pracy w PS, nie mogą wykonywać pracy na podstawie umowy o pracę, spółdzielczej umowy o pracę lub umowy cywilnoprawnej, lub prowadzić działalności gospodarczej w momencie podejmowania zatrudnienia w PS.</w:t>
      </w:r>
      <w:r>
        <w:br/>
        <w:t>13.</w:t>
      </w:r>
      <w:r>
        <w:tab/>
        <w:t>Osoby zatrudniane na miejscach pracy utworzonych w ramach stawki jednostkowej na utworzenie i utrzymanie miejsca pracy, nie mogą pracować w danym PS lub PES przekształcanym w PS (na podstawie umowy o pracę lub umów cywilnoprawnych) w terminie 12 m-cy poprzedzających złożenie wniosku o udzielenie wsparcia finansowego. W przypadku gdy na miejscu pracy dochodzi do wymiany pracowników, okres 12 miesięcy dla nowego pracownika liczony jest od momentu zatrudnienia tej osoby w PS.</w:t>
      </w:r>
      <w:r>
        <w:br/>
        <w:t>14.</w:t>
      </w:r>
      <w:r>
        <w:tab/>
        <w:t>Formą zatrudnienia w ramach miejsc pracy dla osób, o których mowa w art. 2 pkt 6 ustawy z dnia 5 sierpnia 2022 r. o ES, jest umowa o pracę lub spółdzielcza umowa o pracę. Miejsce pracy w ramach projektu może zostać utworzone przez PS bądź PES przekształcany w PS najwcześniej w dniu złożenia wniosku o wsparcie finansowe na utworzenie miejsca/miejsc pracy.</w:t>
      </w:r>
      <w:r>
        <w:br/>
        <w:t>15.</w:t>
      </w:r>
      <w:r>
        <w:tab/>
        <w:t>Jedno PS może uzyskać wsparcie finansowe na utworzenie i utrzymanie maksymalnie dziesięciu nowych miejsc pracy jako:</w:t>
      </w:r>
      <w:r>
        <w:br/>
        <w:t>a)</w:t>
      </w:r>
      <w:r>
        <w:tab/>
        <w:t>nowotworzone PS lub PES przekształcany w PS,</w:t>
      </w:r>
      <w:r>
        <w:br/>
        <w:t>b)</w:t>
      </w:r>
      <w:r>
        <w:tab/>
        <w:t>istniejące PS, niekorzystające ze wsparcia finansowego na utworzenie i utrzymanie miejsc pracy,</w:t>
      </w:r>
      <w:r>
        <w:br/>
        <w:t>c)</w:t>
      </w:r>
      <w:r>
        <w:tab/>
        <w:t>istniejące PS, korzystające ze wsparcia finansowego na utworzenie i utrzymanie miejsc pracy, po upływie okresu trwałości dla wszystkich stworzonych wcześniej miejsc pracy.</w:t>
      </w:r>
      <w:r>
        <w:br/>
        <w:t>16.</w:t>
      </w:r>
      <w:r>
        <w:tab/>
        <w:t>Wsparcie finansowe na utworzenie i utrzymanie miejsca pracy jest przyznawane na podstawie biznesplanu. OWES zapewniają konkurencyjny, transparentny i oparty na merytorycznych przesłankach sposób przyznawania wsparcia finansowego na utworzenie miejsca pracy, opierający się na jednolitych zasadach w danym województwie, obejmujących co najmniej regulamin udzielania wsparcia finansowego na utworzenie i utrzymanie miejsca pracy, opracowanych we współpracy z ROPS.</w:t>
      </w:r>
      <w:r>
        <w:br/>
        <w:t>17.</w:t>
      </w:r>
      <w:r>
        <w:tab/>
        <w:t>Przyznawanie wsparcia finansowego na utworzenie i utrzymanie miejsca pracy w PS jest powiązane z usługami wsparcia podmiotów ekonomii społecznej, o których mowa w art. 29 ustawy z dnia 5 sierpnia 2022 r. o ES.</w:t>
      </w:r>
      <w:r>
        <w:br/>
        <w:t>Typ 3</w:t>
      </w:r>
      <w:r>
        <w:br/>
        <w:t>1.</w:t>
      </w:r>
      <w:r>
        <w:tab/>
        <w:t>Dofinansowanie realizacji indywidualnego planu reintegracyjnego, o którym mowa w art. 6 ustawy z dnia 5 sierpnia 2022 r. o ES, powiązane jest z wypłatą (w formie refundacji) wsparcia reintegracyjnego i w całym okresie realizacji planu wynosi do 300% minimalnego wynagrodzenia za pracę na jednego pracownika, o którym mowa w art. 2 pkt 6 lit. b, d, e, g, h, i oraz l ustawy z dnia 5 sierpnia 2022 r. o ES.</w:t>
      </w:r>
      <w:r>
        <w:br/>
        <w:t>2.</w:t>
      </w:r>
      <w:r>
        <w:tab/>
        <w:t>Przedmiotowe wsparcie dot. wyłącznie nowych pracowników i może być świadczone bez przyznawania wsparcia finansowego na utworzenie i utrzymanie miejsca pracy w PS. Ponadto Beneficjent zapewnia, że w tym zakresie nie wystąpi podwójne finansowanie ze wsparciem finansowym na utworzenie i utrzymanie miejsca pracy w PS.</w:t>
      </w:r>
      <w:r>
        <w:br/>
        <w:t>3.</w:t>
      </w:r>
      <w:r>
        <w:tab/>
        <w:t>Usługi finansowane w ramach wsparcia w zakresie realizacji indywidualnego planu reintegracyjnego dotyczą bezpośrednio pracownika lub zespołu PS i mają na celu zwiększenie możliwości udziału w życiu społecznym i zawodowym osoby objętej planem reintegracyjnym.</w:t>
      </w:r>
      <w:r>
        <w:br/>
        <w:t>4.</w:t>
      </w:r>
      <w:r>
        <w:tab/>
        <w:t>Wsparcie, może być wypłacane wyłącznie w okresie realizacji indywidualnego planu reintegracyjnego.</w:t>
      </w:r>
      <w:r>
        <w:br/>
        <w:t>Typ 4</w:t>
      </w:r>
      <w:r>
        <w:br/>
        <w:t>1.</w:t>
      </w:r>
      <w:r>
        <w:tab/>
        <w:t>W ramach działań z zakresu podnoszenia kwalifikacji i doświadczenia zawodowego pracowników PES możliwe będą do realizacji praktyki, staże, wizyty studyjne. W ramach przedmiotowego typu nie ma możliwości finansowania działań związanych z rozwojem umiejętności, kompetencji lub nabyciem kwalifikacji przy wykorzystaniu BUR.</w:t>
      </w:r>
      <w:r>
        <w:br/>
        <w:t>2.</w:t>
      </w:r>
      <w:r>
        <w:tab/>
        <w:t>OWES, w ramach swojej działalności, aktywnie wspiera PES w pozyskiwaniu wsparcia zewnętrznego, w szczególności w zakresie rozwoju umiejętności, kompetencji lub nabycia kwalifikacji przy wykorzystaniu BUR.</w:t>
      </w:r>
      <w:r>
        <w:br/>
        <w:t>3.</w:t>
      </w:r>
      <w:r>
        <w:tab/>
        <w:t>OWES zobowiązany jest do podpisania porozumień o współpracy z operatorami PSF, działającymi w BUR, udzielającymi wsparcia na terenie działania OWES.</w:t>
      </w:r>
    </w:p>
    <w:p w14:paraId="240F29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9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9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9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9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9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9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9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9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9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240F29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9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9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9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9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9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 (typ 1); 1% (typy 2-4)</w:t>
      </w:r>
    </w:p>
    <w:p w14:paraId="240F29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9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9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9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9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9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9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9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9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9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społeczne i związki wyznaniowe</w:t>
      </w:r>
    </w:p>
    <w:p w14:paraId="240F29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9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planujące założenie lub podjęcie pracy w PS/PES, osoby zagrożone wykluczeniem społecznym, w tym osoby uciekające z terenu Ukrainy, podmioty deklarujące chęć przekształcenia się w przedsiębiorstwo społeczne, podmioty ekonomii społecznej (w tym przedsiębiorstwa społeczne)</w:t>
      </w:r>
    </w:p>
    <w:p w14:paraId="240F29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9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baza_usług_rozwojowych, dotacje_na_miejsca_pracy, ekonomia_społeczna, integracja_społeczna, kompetencje_zawodowe, kwalifikacje, szkolenie_zawodowe, włączenie_społeczne</w:t>
      </w:r>
    </w:p>
    <w:p w14:paraId="240F29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9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9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9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9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9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9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240F29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40F29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240F29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9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WLWK-EECO02+04 - Liczba osób niezatrudnionych objętych wsparciem w programie</w:t>
      </w:r>
    </w:p>
    <w:p w14:paraId="240F29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9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9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9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9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WLWK-PLHCO01 - Liczba podmiotów ekonomii społecznej objętych wsparciem</w:t>
      </w:r>
    </w:p>
    <w:p w14:paraId="240F29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9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9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WLWK-PLHCR01 - Liczba miejsc pracy utworzonych w przedsiębiorstwach społecznych</w:t>
      </w:r>
    </w:p>
    <w:p w14:paraId="240F29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9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240F29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240F29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9CD"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4" w:name="_Toc241668228"/>
      <w:r>
        <w:rPr>
          <w:rFonts w:ascii="Calibri" w:hAnsi="Calibri" w:cs="Calibri"/>
          <w:sz w:val="32"/>
        </w:rPr>
        <w:t>Działanie FELU.08.03 Integracja społeczno-gospodarcza obywateli państw trzecich</w:t>
      </w:r>
      <w:bookmarkEnd w:id="64"/>
    </w:p>
    <w:p w14:paraId="240F29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9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EFS+.CP4.I - Wspieranie integracji społeczno-gospodarczej obywateli państw trzecich, w tym migrantów</w:t>
      </w:r>
    </w:p>
    <w:p w14:paraId="240F29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9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29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9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12 511 432,00</w:t>
      </w:r>
    </w:p>
    <w:p w14:paraId="240F29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9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10 940 000,00</w:t>
      </w:r>
    </w:p>
    <w:p w14:paraId="240F29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9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156 - Działania szczególne na rzecz zwiększenia udziału obywateli państw trzecich w rynku pracy, 157 - Działania na rzecz integracji społecznej obywateli państw trzecich</w:t>
      </w:r>
    </w:p>
    <w:p w14:paraId="240F29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9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Wsparcie integracji obywateli państw trzecich, w szczególności migrantów zarobkowych, w procesie integracji na rynku pracy oraz zatrudniających ich przedsiębiorców, w tym utworzenie i funkcjonowanie Centrum Integracji.</w:t>
      </w:r>
      <w:r>
        <w:br/>
        <w:t>2.</w:t>
      </w:r>
      <w:r>
        <w:tab/>
        <w:t>Usługi, które pozwolą na lepsze funkcjonowanie w polskim społeczeństwie, m.in. kursy języka polskiego, szkolenia z zakresu wartości i kultury polskiej, szkolenia zawodowe, dostarczanie praktycznych informacji dotyczących różnych aspektów życia w Polsce, w tym m.in. legalizacji pobytu i zasad rekrutacji na uczelnie wyższe, pomoc w poszukiwaniu zakwaterowania i zatrudnienia, wsparcie w zakresie kontaktów z lokalnymi instytucjami i społecznością lokalną, wsparcie psychologiczne, wsparcie tłumacza.</w:t>
      </w:r>
      <w:r>
        <w:br/>
        <w:t>3.</w:t>
      </w:r>
      <w:r>
        <w:tab/>
        <w:t>Budowanie zdolności instytucjonalnej w administracji lokalnej, instytucjach publicznych w tym m. in. Poprzez zatrudnienie osób z Ukrainy znających język polski w stopniu co najmniej komunikatywnym, jako osób pracujących w podmiotach opieki zdrowotnej, placówkach oświatowych, podmiotach/instytucjach świadczących usługi społeczne, zawodowe, celem zwiększenia komunikacji pomiędzy obywatelami państw trzecich a pracownikami ww. instytucji.</w:t>
      </w:r>
      <w:r>
        <w:br/>
        <w:t>4.</w:t>
      </w:r>
      <w:r>
        <w:tab/>
        <w:t>Budowanie zdolności podmiotów gospodarki społecznej oraz organizacji społeczeństwa obywatelskiego i partnerów społecznych zajmujących się integracją społeczno- ekonomiczną obywateli państw trzecich, w tym m. in. poprzez zatrudnienie osób z Ukrainy znających język polski w stopniu co najmniej komunikatywnym, jako osób pracujących w podmiotach gospodarki społecznej oraz organizacji społeczeństwa obywatelskiego i partnerów społecznych, celem zwiększenia komunikacji pomiędzy obywatelami państw trzecich a pracownikami ww. instytucji.</w:t>
      </w:r>
      <w:r>
        <w:br/>
        <w:t>Kluczowe warunki realizacji projektów:</w:t>
      </w:r>
      <w:r>
        <w:br/>
        <w:t>Każdorazowo do ogłoszonego naboru projektów ION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projektów z udziałem środków Europejskiego Funduszu Społecznego Plus w regionalnych programach na lata 2021–2027,</w:t>
      </w:r>
      <w:r>
        <w:br/>
        <w:t>c)</w:t>
      </w:r>
      <w:r>
        <w:tab/>
        <w:t>Wytycznymi dot. realizacji zasad równościowych w ramach funduszy unijnych na lata 2021-2027,</w:t>
      </w:r>
      <w:r>
        <w:br/>
        <w:t>d)</w:t>
      </w:r>
      <w:r>
        <w:tab/>
        <w:t>Wytycznymi dot. monitorowania postępu rzeczowego realizacji programów na lata 2021-2027,</w:t>
      </w:r>
      <w:r>
        <w:br/>
        <w:t>e)</w:t>
      </w:r>
      <w:r>
        <w:tab/>
        <w:t>Wytycznymi dot. wyboru projektów na lata 2021-2027.</w:t>
      </w:r>
      <w:r>
        <w:br/>
        <w:t>2.</w:t>
      </w:r>
      <w:r>
        <w:tab/>
        <w:t>W ramach typu 3, wsparcie będzie skierowane do podmiotów/instytucji, które nie otrzymały środków na ten cel z programu krajowego FERS.</w:t>
      </w:r>
      <w:r>
        <w:br/>
        <w:t>3.</w:t>
      </w:r>
      <w:r>
        <w:tab/>
        <w:t>W ramach typu 4 dla obywateli państw trzecich przybywających legalnie do Polski, pracodawców zatrudniających obywateli państw trzecich, oraz osób towarzyszących (np. członków rodzin, dzieci), realizowane będą działania dotyczące tworzenia sieci wsparcia (w szczególności skierowanych do kobiet i dzieci, młodzieży), pomocy psychologicznej, terapeutycznej, znajomości funkcjonowania polskiego państwa w zakresie m.in. potrzeb społecznych, inicjatyw ukierunkowanych na wzmocnienie pozytywnego nastawienia otoczenia w miejscu pracy, zamieszkania lub szkole, włączenia poprzez kulturę (otwartość instytucji kultury, jak też możliwość ekspresji własnej kultury).</w:t>
      </w:r>
      <w:r>
        <w:br/>
        <w:t>4.</w:t>
      </w:r>
      <w:r>
        <w:tab/>
        <w:t>W ramach wszystkich typów projektów oferowane wsparcie w działaniu powinno być realizowane w sposób kompleksowy i zindywidualizowany, dostosowany do zdiagnozowanych specyficznych potrzeb osób wspieranych.</w:t>
      </w:r>
      <w:r>
        <w:br/>
        <w:t>5.</w:t>
      </w:r>
      <w:r>
        <w:tab/>
        <w:t>W ramach wszystkich typów projektów nie będą realizowane działania służące rozwojowi przedsiębiorczości i samozatrudnienia.</w:t>
      </w:r>
      <w:r>
        <w:br/>
        <w:t>6.</w:t>
      </w:r>
      <w:r>
        <w:tab/>
        <w:t>W ramach wszystkich typów projektów 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7.</w:t>
      </w:r>
      <w:r>
        <w:tab/>
        <w:t>W ramach typu projektów 4 możliwa będzie interwencja skierowana na budowanie zdolności organizacji społeczeństwa obywatelskiego i partnerów społecznych, zgodnie z art. 9 ust 2 rozporządzenia EFS+.</w:t>
      </w:r>
      <w:r>
        <w:br/>
        <w:t>8.</w:t>
      </w:r>
      <w:r>
        <w:tab/>
        <w:t>W ramach typów projektów 1 i 2 z zakresu aktywizacji społeczno-zawodowej, dana osoba nie otrzymuje jednocześnie wsparcia w więcej niż jednym projekcie z zakresu aktywizacji społeczno-zawodowej dofinansowanym ze środków EFS+, w tożsamym rodzajowo zakresie.</w:t>
      </w:r>
      <w:r>
        <w:br/>
        <w:t>9.</w:t>
      </w:r>
      <w:r>
        <w:tab/>
        <w:t>Zastosowane będą preferencje punktowe w naborach dla projektów, w których zawarto elementy współpracy ponadregionalnej, transgranicznej lub ponadnarodowej. W wybranych naborach konkurencyjnych premiowani będą beneficjenci wykazujący się doświadczeniem i/lub zaangażowaniem w prowadzone działania współpracy międzyregionalnej, transgranicznej i transnarodowej.</w:t>
      </w:r>
      <w:r>
        <w:br/>
        <w:t>10.</w:t>
      </w:r>
      <w:r>
        <w:tab/>
        <w:t>Wnioskodawcą w ramach typu 4 mogą być wyłącznie podmioty spełniające definicję organizacji społeczeństwa obywatelskiego i partnerów społecznych.</w:t>
      </w:r>
      <w:r>
        <w:br/>
        <w:t>11.   Przewidywane wsparcie z Budżetu Państwa w ramach środków określonych w Kontrakcie Programowym dla Województwa Lubelskiego i zgodnie z zał. 33.</w:t>
      </w:r>
    </w:p>
    <w:p w14:paraId="240F29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9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9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9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9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9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9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9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9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9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9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9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9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9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9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9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w:t>
      </w:r>
    </w:p>
    <w:p w14:paraId="240F29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9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9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9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9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9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Partnerzy społeczni, Przedsiębiorstwa, Służby publiczne</w:t>
      </w:r>
    </w:p>
    <w:p w14:paraId="240F29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9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obywatele państw trzecich, organizacje społeczeństwa obywatelskiego, partnerzy społeczni, partnerzy społeczni (ich członkowie i przedstawiciele), partnerzy społeczni i środowisko organizacji społeczeństwa obywatelskiego, pracodawcy zatrudniający obywateli państw trzecich, pracownicy instytucji publicznych pracujący z obywatelami państw trzecich, przedstawiciele organizacji pozarządowych, przedstawiciele partnerów społecznych, społeczeństwo przyjmujące</w:t>
      </w:r>
    </w:p>
    <w:p w14:paraId="240F29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9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integracja_społeczna, kompetencje_zawodowe, kurs, szkolenia</w:t>
      </w:r>
    </w:p>
    <w:p w14:paraId="240F29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9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9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9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9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9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9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9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9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WLWK-PL0CO05 - Liczba organizacji społeczeństwa obywatelskiego wspartych w co najmniej jednym z następujących obszarów: standardy i procedury zarządzania, refleksyjność, wydolność finansowa, rzecznictwo, jakość usług, współpraca międzysektorowa</w:t>
      </w:r>
    </w:p>
    <w:p w14:paraId="240F29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WLWK-PL0CO06 - Liczba organizacji społeczeństwa obywatelskiego wspartych w zakresie wdrażania nowych metod działania lub rodzajów usług</w:t>
      </w:r>
    </w:p>
    <w:p w14:paraId="240F29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9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A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A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A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A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A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WLWK-PL0CO07 - Liczba przedstawicieli organizacji społeczeństwa obywatelskiego (w tym wolontariuszy) objętych wsparciem w programie</w:t>
      </w:r>
    </w:p>
    <w:p w14:paraId="240F2A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WLWK-PLICO05 - Liczba utworzonych Centrów Integracji Cudzoziemców</w:t>
      </w:r>
    </w:p>
    <w:p w14:paraId="240F2A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A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WLWK-PL0CR02 - Liczba organizacji społeczeństwa obywatelskiego, które poprawiły lub wprowadziły nowe metody działania lub rodzaje usług</w:t>
      </w:r>
    </w:p>
    <w:p w14:paraId="240F2A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WLWK-PL0CR01 - Liczba organizacji społeczeństwa obywatelskiego, które zwiększyły swój potencjał organizacyjny w co najmniej jednym z następujących obszarów: standardy i procedury zarządzania, refleksyjność, wydolność finansowa, rzecznictwo, jakość usług, współpraca międzysektorowa</w:t>
      </w:r>
    </w:p>
    <w:p w14:paraId="240F2A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240F2A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A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240F2A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240F2A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WLWK-PL0CR03 - Liczba przedstawicieli organizacji społeczeństwa obywatelskiego, którzy zdobyli nowe umiejętności, wiedzę lub uzyskali kwalifikacje</w:t>
      </w:r>
    </w:p>
    <w:p w14:paraId="240F2A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A0F"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5" w:name="_Toc241668229"/>
      <w:r>
        <w:rPr>
          <w:rFonts w:ascii="Calibri" w:hAnsi="Calibri" w:cs="Calibri"/>
          <w:sz w:val="32"/>
        </w:rPr>
        <w:t>Działanie FELU.08.04 Integracja społeczno-gospodarcza społeczności marginalizowanych</w:t>
      </w:r>
      <w:bookmarkEnd w:id="65"/>
    </w:p>
    <w:p w14:paraId="240F2A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A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EFS+.CP4.J - Wspieranie integracji społeczno-gospodarczej społeczności marginalizowanych, takich jak Romowie</w:t>
      </w:r>
    </w:p>
    <w:p w14:paraId="240F2A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A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2A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A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1 863 561,00</w:t>
      </w:r>
    </w:p>
    <w:p w14:paraId="240F2A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A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1 629 499,00</w:t>
      </w:r>
    </w:p>
    <w:p w14:paraId="240F2A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A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152 - Działania na rzecz promowania równości szans i aktywnego udziału w życiu społecznym, 154 - Działania na rzecz poprawy dostępu grup marginalizowanych, takich jak Romowie, do edukacji, zatrudnienia, a także na rzecz wspierania ich włączenia społecznego</w:t>
      </w:r>
    </w:p>
    <w:p w14:paraId="240F2A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A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Kompleksowe programy na rzecz aktywizacji społecznej i zawodowej oraz wykształcenia członków społeczności marginalizowanych obejmujące m.in. działania w zakresie edukacji dzieci i młodzieży oraz osób dorosłych,</w:t>
      </w:r>
      <w:r>
        <w:br/>
        <w:t>2.</w:t>
      </w:r>
      <w:r>
        <w:tab/>
        <w:t>Działania antydyskryminacyjne na rzecz osób i instytucji z otoczenia środowiska Romów,</w:t>
      </w:r>
      <w:r>
        <w:br/>
        <w:t>3.</w:t>
      </w:r>
      <w:r>
        <w:tab/>
        <w:t>Działania w zakresie edukacji prozdrowotnej (jako działania uzupełniające i wspierające funkcjonowanie w społeczeństwie oraz na rynku pracy),</w:t>
      </w:r>
      <w:r>
        <w:br/>
        <w:t>4.</w:t>
      </w:r>
      <w:r>
        <w:tab/>
        <w:t>Działania w zakresie komunikacji społecznej (jako działania uzupełniające),</w:t>
      </w:r>
      <w:r>
        <w:br/>
        <w:t>5.</w:t>
      </w:r>
      <w:r>
        <w:tab/>
        <w:t>Poprawa dostępu do podstawowych usług społecznych, w szczególności usług pomocy społecznej i opieki zdrowotnej.</w:t>
      </w:r>
      <w:r>
        <w:br/>
        <w:t>6.</w:t>
      </w:r>
      <w:r>
        <w:tab/>
        <w:t>Budowanie zdolności organizacji społeczeństwa obywatelskiego w zakresie działań wspierających integrację społeczno-gospodarczą społeczności marginalizowanych.</w:t>
      </w:r>
      <w:r>
        <w:br/>
      </w:r>
      <w:r>
        <w:br/>
        <w:t>Kluczowe warunki realizacji projektów:</w:t>
      </w:r>
      <w:r>
        <w:br/>
        <w:t xml:space="preserve">Każdorazowo do ogłoszonego naboru projektów ION określi szczegółowe zasady realizacji wsparcia w zakresie poszczególnych typów projektów </w:t>
      </w:r>
      <w:r>
        <w:br/>
        <w:t>1.</w:t>
      </w:r>
      <w:r>
        <w:tab/>
        <w:t>Projekty realizowane będą zgodnie z:</w:t>
      </w:r>
      <w:r>
        <w:br/>
        <w:t>a)</w:t>
      </w:r>
      <w:r>
        <w:tab/>
        <w:t>Wytycznymi dot. kwalifikowalności wydatków na lata 2021-2027,</w:t>
      </w:r>
      <w:r>
        <w:br/>
        <w:t>b)</w:t>
      </w:r>
      <w:r>
        <w:tab/>
        <w:t>Wytycznymi dot. realizacji projektów z udziałem środków Europejskiego Funduszu Społecznego Plus w regionalnych programach na lata 2021–2027,</w:t>
      </w:r>
      <w:r>
        <w:br/>
        <w:t>c)</w:t>
      </w:r>
      <w:r>
        <w:tab/>
        <w:t>Wytycznymi dot. realizacji zasad równościowych w ramach funduszy unijnych na lata 2021-2027,</w:t>
      </w:r>
      <w:r>
        <w:br/>
        <w:t>d)</w:t>
      </w:r>
      <w:r>
        <w:tab/>
        <w:t>Wytycznymi dot. monitorowania postępu rzeczowego realizacji programów na lata 2021-2027,</w:t>
      </w:r>
      <w:r>
        <w:br/>
        <w:t>e)</w:t>
      </w:r>
      <w:r>
        <w:tab/>
        <w:t>Wytycznymi dot. wyboru projektów na lata 2021-2027,</w:t>
      </w:r>
      <w:r>
        <w:br/>
        <w:t>2.</w:t>
      </w:r>
      <w:r>
        <w:tab/>
        <w:t>Społeczności marginalizowane wymagają wsparcia adekwatnego do potrzeb i problemów z którymi się borykają, zatem istotna jest kwestia wielowymiarowej integracji członków społeczności marginalizowanych zarówno w obszarze społecznym jak i zawodowym ( w tym aktywizacja romskich kobiet, z poszanowaniem ich kultury, tradycji i odrębności) (dotyczy wszystkich typów projektu).</w:t>
      </w:r>
      <w:r>
        <w:br/>
        <w:t>3.</w:t>
      </w:r>
      <w:r>
        <w:tab/>
        <w:t>W ramach typów projektów 1, 2 i 6 konieczne są działania ukierunkowane na zmianę sposobu postrzegania zarówno całych społeczności, jak i poszczególnych ich członków przez ogół społeczeństwa, a w szczególności przez mieszkańców sąsiadujących z poszczególnymi społecznościami marginalizowanymi.</w:t>
      </w:r>
      <w:r>
        <w:br/>
        <w:t>4.</w:t>
      </w:r>
      <w:r>
        <w:tab/>
        <w:t xml:space="preserve">W ramach typów projektu 3 i 5 istotne będą działania nakierowane na zwiększenie dostępności do usług społecznych i zdrowotnych, rozumiane jako zwiększenie gotowości członków społeczności do korzystania i upowszechnienie ich w ramach społeczności (np. organizacja wizyt lekarskich i pielęgniarskich wśród społeczności marginalizowanych, wsparcie psychologiczne), w tym poprzez wykorzystanie wsparcia dostępnego w ramach innych priorytetów programu regionalnego. W ramach wsparcia nie będą finansowane koszty leczenia. </w:t>
      </w:r>
      <w:r>
        <w:br/>
        <w:t>5.</w:t>
      </w:r>
      <w:r>
        <w:tab/>
        <w:t>Niezbędne jest aby działania w ramach wszystkich typów projektów były zindywidualizowane, dostosowane do zdiagnozowanych, specyficznych potrzeb grup docelowych, jak również zaplanowane przy znacznym stopniu partycypacji grup docelowych. W szczególności istotne będą działania środowiskowe, animacyjne, realizowane w konkretnych środowiskach czy społecznościach lokalnych.</w:t>
      </w:r>
      <w:r>
        <w:br/>
        <w:t>6.</w:t>
      </w:r>
      <w:r>
        <w:tab/>
        <w:t>W ramach wszystkich typów projektów nie będą realizowane działania służące rozwojowi przedsiębiorczości i samozatrudnienia.</w:t>
      </w:r>
      <w:r>
        <w:br/>
        <w:t>7.</w:t>
      </w:r>
      <w:r>
        <w:tab/>
        <w:t>W ramach wszystkich typów projektów 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8.</w:t>
      </w:r>
      <w:r>
        <w:tab/>
        <w:t>Typy projektów nr 2,3,4,5 nie mogą stanowić samodzielnych projektów.</w:t>
      </w:r>
      <w:r>
        <w:br/>
        <w:t>9.</w:t>
      </w:r>
      <w:r>
        <w:tab/>
        <w:t>Wszystkie typy projektów tj. 1,2,3,4,5 będą realizowane łącznie.</w:t>
      </w:r>
      <w:r>
        <w:br/>
        <w:t>10.</w:t>
      </w:r>
      <w:r>
        <w:tab/>
        <w:t>W przypadku łączonych typów projektów, każdy z typów powinien stanowić odrębne zadanie w planowanym budżecie.</w:t>
      </w:r>
      <w:r>
        <w:br/>
        <w:t>11.</w:t>
      </w:r>
      <w:r>
        <w:tab/>
        <w:t>W ramach typu projektu 2 możliwa będzie interwencja skierowana na budowanie zdolności organizacji społeczeństwa obywatelskiego, zgodnie z art. 9 ust 2 rozporządzenia EFS+.</w:t>
      </w:r>
      <w:r>
        <w:br/>
        <w:t>12.</w:t>
      </w:r>
      <w:r>
        <w:tab/>
        <w:t>W ramach typów projektów 1, 2, 3, 4 i 5, w projektach z zakresu aktywizacji społeczno-zawodowej, dana osoba nie otrzymuje jednocześnie wsparcia w więcej niż jednym projekcie z zakresu aktywizacji społeczno-zawodowej dofinansowanym ze środków EFS+, w tożsamym rodzajowo zakresie.</w:t>
      </w:r>
      <w:r>
        <w:br/>
        <w:t>13.</w:t>
      </w:r>
      <w:r>
        <w:tab/>
        <w:t>Zastosowane będą preferencje punktowe w naborach dla projektów, w których zawarto elementy współpracy ponadregionalnej, transgranicznej lub ponadnarodowej. W wybranych naborach konkurencyjnych premiowani będą beneficjenci wykazujący się doświadczeniem i/lub zaangażowaniem w prowadzone działania współpracy międzyregionalnej, transgranicznej i transnarodowej.</w:t>
      </w:r>
      <w:r>
        <w:br/>
        <w:t>14. Wnioskodawcą w ramach typu 6 mogą być wyłącznie podmioty spełniające definicję organizacji społeczeństwa obywatelskiego.</w:t>
      </w:r>
      <w:r>
        <w:br/>
        <w:t>15. Przewidywane wsparcie z Budżetu Państwa w ramach środków określonych w Kontrakcie Programowym dla Województwa Lubelskiego i zgodnie z zał. 33.</w:t>
      </w:r>
    </w:p>
    <w:p w14:paraId="240F2A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A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A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A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A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A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A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A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A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A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A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A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A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A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A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A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w:t>
      </w:r>
    </w:p>
    <w:p w14:paraId="240F2A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A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A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A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A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A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Partnerzy społeczni, Przedsiębiorstwa, Służby publiczne</w:t>
      </w:r>
    </w:p>
    <w:p w14:paraId="240F2A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A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mniejszości narodowe/etniczne, organizacje społeczeństwa obywatelskiego, osoby należące do społeczności marginalizowanych, w tym Romowie oraz ich dzieci, przedsiębiorcy, społeczności lokalne</w:t>
      </w:r>
    </w:p>
    <w:p w14:paraId="240F2A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A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integracja_społeczna, kompetencje_zawodowe, kurs, szkolenia</w:t>
      </w:r>
    </w:p>
    <w:p w14:paraId="240F2A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A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A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A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A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A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A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A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A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WLWK-PL0CO05 - Liczba organizacji społeczeństwa obywatelskiego wspartych w co najmniej jednym z następujących obszarów: standardy i procedury zarządzania, refleksyjność, wydolność finansowa, rzecznictwo, jakość usług, współpraca międzysektorowa</w:t>
      </w:r>
    </w:p>
    <w:p w14:paraId="240F2A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WLWK-PL0CO06 - Liczba organizacji społeczeństwa obywatelskiego wspartych w zakresie wdrażania nowych metod działania lub rodzajów usług</w:t>
      </w:r>
    </w:p>
    <w:p w14:paraId="240F2A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A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A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A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A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A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A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WLWK-PL0CO07 - Liczba przedstawicieli organizacji społeczeństwa obywatelskiego (w tym wolontariuszy) objętych wsparciem w programie</w:t>
      </w:r>
    </w:p>
    <w:p w14:paraId="240F2A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A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WLWK-PL0CR02 - Liczba organizacji społeczeństwa obywatelskiego, które poprawiły lub wprowadziły nowe metody działania lub rodzaje usług</w:t>
      </w:r>
    </w:p>
    <w:p w14:paraId="240F2A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WLWK-PL0CR01 - Liczba organizacji społeczeństwa obywatelskiego, które zwiększyły swój potencjał organizacyjny w co najmniej jednym z następujących obszarów: standardy i procedury zarządzania, refleksyjność, wydolność finansowa, rzecznictwo, jakość usług, współpraca międzysektorowa</w:t>
      </w:r>
    </w:p>
    <w:p w14:paraId="240F2A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240F2A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A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240F2A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WLWK-PL0CR03 - Liczba przedstawicieli organizacji społeczeństwa obywatelskiego, którzy zdobyli nowe umiejętności, wiedzę lub uzyskali kwalifikacje</w:t>
      </w:r>
    </w:p>
    <w:p w14:paraId="240F2A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A4F"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6" w:name="_Toc241668230"/>
      <w:r>
        <w:rPr>
          <w:rFonts w:ascii="Calibri" w:hAnsi="Calibri" w:cs="Calibri"/>
          <w:sz w:val="32"/>
        </w:rPr>
        <w:t>Działanie FELU.08.05 Usługi społeczne</w:t>
      </w:r>
      <w:bookmarkEnd w:id="66"/>
    </w:p>
    <w:p w14:paraId="240F2A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A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EFS+.CP4.K -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p>
    <w:p w14:paraId="240F2A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A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122 564 870,00</w:t>
      </w:r>
    </w:p>
    <w:p w14:paraId="240F2A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A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107 087 031,00</w:t>
      </w:r>
    </w:p>
    <w:p w14:paraId="240F2A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A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158 - Działania w celu zwiększenia równego i szybkiego dostępu do dobrej jakości trwałych i przystępnych cenowo usług</w:t>
      </w:r>
    </w:p>
    <w:p w14:paraId="240F2A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A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Projekty w zakresie:</w:t>
      </w:r>
      <w:r>
        <w:br/>
        <w:t>a)</w:t>
      </w:r>
      <w:r>
        <w:tab/>
        <w:t>rozwoju usług opiekuńczych świadczonych w społeczności lokalnej, w formach dziennych i całodobowych</w:t>
      </w:r>
      <w:r>
        <w:br/>
        <w:t>b)</w:t>
      </w:r>
      <w:r>
        <w:tab/>
        <w:t>wsparcia tworzenia warunków i usług w zakresie opieki osób potrzebujących wsparcia w codziennym funkcjonowaniu w miejscu zamieszkania</w:t>
      </w:r>
      <w:r>
        <w:br/>
        <w:t>c)</w:t>
      </w:r>
      <w:r>
        <w:tab/>
        <w:t>wsparcia opiekunów faktycznych (nieformalnych) osób potrzebujących wsparcia w codziennym funkcjonowaniu, w tym opieka wytchnieniowa, poradnictwo, kształcenie potrzebne do opieki</w:t>
      </w:r>
      <w:r>
        <w:br/>
        <w:t>d)</w:t>
      </w:r>
      <w:r>
        <w:tab/>
        <w:t>szkolenia kadr na potrzeby świadczenia usług w społeczności lokalnej</w:t>
      </w:r>
      <w:r>
        <w:br/>
        <w:t>e)</w:t>
      </w:r>
      <w:r>
        <w:tab/>
        <w:t>wsparcia dla tworzenia lub funkcjonowania placówek świadczących usługi społeczne w społeczności lokalnej i ich usług, w tym CUS</w:t>
      </w:r>
      <w:r>
        <w:br/>
        <w:t>f)</w:t>
      </w:r>
      <w:r>
        <w:tab/>
        <w:t>wsparcia procesu deinstytucjonalizacji instytucji całodobowych</w:t>
      </w:r>
      <w:r>
        <w:br/>
        <w:t>2.</w:t>
      </w:r>
      <w:r>
        <w:tab/>
        <w:t>Rozwój usług asystenckich wspierających aktywność społeczną, edukacyjną lub zawodową osób z niepełnosprawnościami.</w:t>
      </w:r>
      <w:r>
        <w:br/>
        <w:t>3.</w:t>
      </w:r>
      <w:r>
        <w:tab/>
        <w:t>Wsparcie w zakresie tworzenia i funkcjonowania mieszkań treningowych i wspomaganych, w tym wsparcie kadry tych mieszkań oraz innych rozwiązań łączących wsparcie społeczne i mieszkaniowe.</w:t>
      </w:r>
      <w:r>
        <w:br/>
        <w:t>4.</w:t>
      </w:r>
      <w:r>
        <w:tab/>
        <w:t>Wsparcie procesu usamodzielniania osób przebywających w placówkach całodobowych.</w:t>
      </w:r>
      <w:r>
        <w:br/>
        <w:t>5. Budowanie zdolności organizacji społeczeństwa obywatelskiego w zakresie działań wspierających usługi społeczne.</w:t>
      </w:r>
      <w:r>
        <w:br/>
        <w:t>Kluczowe warunki realizacji projektów:</w:t>
      </w:r>
      <w:r>
        <w:br/>
        <w:t>Każdorazowo do ogłoszonego naboru projektów ION określi szczegółowe zasady realizacji wsparcia w zakresie poszczególnych typów projektów, w tym standardów realizacji usług społecznych.</w:t>
      </w:r>
      <w:r>
        <w:br/>
        <w:t>1.</w:t>
      </w:r>
      <w:r>
        <w:tab/>
        <w:t>Projekty realizowane będą zgodnie z (typ 1-5):</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2.</w:t>
      </w:r>
      <w:r>
        <w:tab/>
        <w:t xml:space="preserve">Beneficjent w okresie realizacji projektu prowadzi biuro projektu (lub posiada siedzibę, filię, delegaturę, oddział) na terenie woj. lubelskiego z możliwością udostępnienia pełnej dokumentacji wdrażanego projektu oraz zapewniające uczestnikom projektu możliwość osobistego kontaktu z kadrą projektu. </w:t>
      </w:r>
      <w:r>
        <w:br/>
        <w:t>3.</w:t>
      </w:r>
      <w:r>
        <w:tab/>
        <w:t>Wsparcie z zakresu usług społecznych dotyczy wyłącznie usług świadczonych w społeczności lokalnej (typ 1a,b,d,e,f-4).</w:t>
      </w:r>
      <w:r>
        <w:br/>
        <w:t>4.</w:t>
      </w:r>
      <w:r>
        <w:tab/>
        <w:t>Wsparcie oferowane w projektach jest dostosowane do indywidualnych potrzeb, potencjału i osobistych preferencji odbiorców tych usług (zwłaszcza w przypadku osób potrzebujących wsparcia w codziennym funkcjonowaniu i OzN ). Ponadto niezbędne jest dopasowanie wsparcia dla osób wykluczonych komunikacyjnie (typy 1-4).</w:t>
      </w:r>
      <w:r>
        <w:br/>
        <w:t>5.</w:t>
      </w:r>
      <w:r>
        <w:tab/>
        <w:t>W projektach dotyczących usług społ. w zakresie opieki długoterminowej, możliwe będzie finansowanie leczenia jako uzupełnienie usług społecznych. (typ 1a,b,e,f,3,4).</w:t>
      </w:r>
      <w:r>
        <w:br/>
        <w:t>6.</w:t>
      </w:r>
      <w:r>
        <w:tab/>
        <w:t>W przypadku świadczenia usług w placówce zapewniającej całodobową opiekę, nie jest ona zlokalizowana na nieruchomości, na której znajduje się inna placówka świadcząca opiekę instytucjonalną. Zasada ta nie dotyczy placówek zapewniających opiekę wytchnieniową w formie krótkookresowego pobytu, pod warunkiem zachowania pozostałych zasad świadczenia usług w społeczności lokalnej (typ 1a, c, e, 3).</w:t>
      </w:r>
      <w:r>
        <w:br/>
        <w:t>7.</w:t>
      </w:r>
      <w:r>
        <w:tab/>
        <w:t>Usługi opiekuńcze są świadczone dla osób potrzebujących wsparcia w codziennym funkcjonowaniu, a usługi asystenckie w szczególności dla OzN (typ 1a-c, e, f, 2, 3, 4).</w:t>
      </w:r>
      <w:r>
        <w:br/>
        <w:t>8.</w:t>
      </w:r>
      <w:r>
        <w:tab/>
        <w:t>Wsparcie dla usług opiekuńczych lub asystenckich prowadzi każdorazowo do zwiększenia l. miejsc świadczenia usług w społeczności lokalnej oraz l. osób objętych usługami świadczonymi w społeczności lokalnej przez danego beneficjenta w stosunku do danych z roku poprzedzającego rok złożenia wniosku o dofinansowanie projektu. Obowiązek zwiększania l. miejsc świadczenia usług oraz l. osób objętych tymi usługami nie dotyczy:</w:t>
      </w:r>
      <w:r>
        <w:br/>
        <w:t>a)</w:t>
      </w:r>
      <w:r>
        <w:tab/>
        <w:t>wsparcia dla usług opiekuńczych świadczonych przez opiekunów faktycznych;</w:t>
      </w:r>
      <w:r>
        <w:br/>
        <w:t>b)</w:t>
      </w:r>
      <w:r>
        <w:tab/>
        <w:t>wsparcia realizowanego przez CUS (którego skala powinna wynikać z lokalnej diagnozy potrzeb);</w:t>
      </w:r>
      <w:r>
        <w:br/>
        <w:t>c)</w:t>
      </w:r>
      <w:r>
        <w:tab/>
        <w:t>wsparcia realizowanego uprzednio w ramach programów rządowych.</w:t>
      </w:r>
      <w:r>
        <w:br/>
        <w:t>Obowiązek zwiększania l. osób objętych usługami nie oznacza zakazu jednoczesnego wsparcia osób dotychczas obejmowanych usługami przez beneficjenta (typ 1a,b,c, 2, 3).</w:t>
      </w:r>
      <w:r>
        <w:br/>
        <w:t>9.</w:t>
      </w:r>
      <w:r>
        <w:tab/>
        <w:t>Wsparcie w ramach projektu nie może spowodować:</w:t>
      </w:r>
      <w:r>
        <w:br/>
        <w:t>a)</w:t>
      </w:r>
      <w:r>
        <w:tab/>
        <w:t>zmniejszenia dotychczasowego finansowania usług asystenckich lub opiekuńczych przez beneficjenta oraz</w:t>
      </w:r>
      <w:r>
        <w:br/>
        <w:t>b)</w:t>
      </w:r>
      <w:r>
        <w:tab/>
        <w:t>zastąpienia środkami projektu dotychczasowego finansowania usług ze środków innych niż europejskie.</w:t>
      </w:r>
      <w:r>
        <w:br/>
        <w:t>Wskazane warunki nie dotyczą kontynuacji wsparcia realizowanego ze środków EFS+ (typ 1a,b,c, 2, 3).</w:t>
      </w:r>
      <w:r>
        <w:br/>
        <w:t>10.</w:t>
      </w:r>
      <w:r>
        <w:tab/>
        <w:t>Wsparcie osób będących w długoterminowej opiece instytucjonalnej jest możliwe wyłącznie w celu przejścia tych osób do opieki realizowanej w formie usług świadczonych w społ. lokalnej. Wsparcie to musi przyczyniać się do zwiększenia l. miejsc świadczenia usług opiekuńczych świadczonych w społeczności lokalnej (1f,4).</w:t>
      </w:r>
      <w:r>
        <w:br/>
        <w:t>11.</w:t>
      </w:r>
      <w:r>
        <w:tab/>
        <w:t>Dopuszczalne jest finansowanie działań umożliwiających pozostanie OzN i osób potrzebujących wsparcia w codziennym funkcjonowaniu w społ. lokalnej, pozwalające tym osobom na w miarę możliwości samodzielne funkcjonowanie, w tym działania zwiększające mobilność, autonomię i bezpieczeństwo tych osób takie jak np. likwidowanie barier architektonicznych w miejscu zamieszkania (mieszkania adaptowalne), sfinansowanie tworzenia i rozwoju wypożyczalni sprzętu wspomagającego (zwiększającego samodzielność tych osób) i sprzętu pielęgnacyjnego (niezbędnego do opieki nad tymi osobami), sfinansowanie wypożyczenia lub zakupu tego sprzętu, usługi dowożenia posiłków, usługi transportu indywidualnego. Tego rodzaju działania realizowane są jako element kompleksowych projektów dotyczących usług asystenckich lub usług opiekuńczych i mogą być finansowane z EFS+ lub w ramach cross-financingu (typ 1a-c, e,f,2,3,4).</w:t>
      </w:r>
      <w:r>
        <w:br/>
        <w:t>12.</w:t>
      </w:r>
      <w:r>
        <w:tab/>
        <w:t xml:space="preserve"> Działania związane z tworzeniem CUS oraz wsparciem świadczonych przez nie usług realizowane są zgodnie z ustawą z dnia 19 lipca 2019 r. o realizowaniu usług społ. przez centrum usług społecznych (typ 1e).</w:t>
      </w:r>
      <w:r>
        <w:br/>
        <w:t>13.</w:t>
      </w:r>
      <w:r>
        <w:tab/>
        <w:t>Wsparcie związane z tworzeniem CUS może uwzględniać koszty opracowania lokalnej diagnozy potrzeb i potencjału wspólnoty samorządowej w zakresie usług społ. oraz utworzenia planu wdrażania CUS (typ 1e).</w:t>
      </w:r>
      <w:r>
        <w:br/>
        <w:t>14.</w:t>
      </w:r>
      <w:r>
        <w:tab/>
        <w:t>W przypadku wsparcia usług realizowanych przez CUS, mogą być finansowane usługi wchodzące w zakres interwencji EFS+, obejmujące usługi z zakresu: wsparcia rodziny i pieczy zastępczej, wsparcia OzN, osób starszych, osób w kryzysie bezdomności, dotkniętych wykluczeniem z dostępu do mieszkań lub zagrożonych bezdomnością, aktywizacji zawodowej, usług w mieszkaniach wspomaganych, treningowych oraz mieszkaniach z usługami/ze wsparciem, reintegracji społeczno-zawodowej, usług zdrowotnych, opiekuńczych, a także wsparcia opiekunów faktycznych (typ 1e)).</w:t>
      </w:r>
      <w:r>
        <w:br/>
        <w:t>15.</w:t>
      </w:r>
      <w:r>
        <w:tab/>
        <w:t>W przypadku wsparcia CUS utworzonych w PO WER, nie nastąpi podwójne finansowanie wydatków. Wsparcie usług świadczonych przez te CUS może dotyczyć wyłącznie dofinansowania kosztów związanych ze świadczeniem tych usług (w tym kosztów świadczenia usług oraz wynagrodzeń zespołu do spraw organizowania usług społecznych i stanowiska organizatora społeczności lokalnej wskazanych w art. 23 ustawy z dnia 19 lipca 2019 r. o realizowaniu usług społecznych przez centrum usług społecznych) i nie obejmuje finansowania wydatków związanych w bieżącym funkcjonowaniem danego CUS (np. wynajem pomieszczeń biurowych, księgowość) (typ 1e).</w:t>
      </w:r>
      <w:r>
        <w:br/>
        <w:t>16.</w:t>
      </w:r>
      <w:r>
        <w:tab/>
        <w:t>Wsparcie dla mieszkań treningowych i mieszkań wspomaganych oraz innych mieszkań, w których oferowane są usługi społ. i wsparcie osób je zamieszkujących (dalej: mieszkania z usługami/ze wsparciem) polega na tworzeniu miejsc w nowo tworzonych lub istniejących mieszkaniach (typ 3).</w:t>
      </w:r>
      <w:r>
        <w:br/>
        <w:t>17.</w:t>
      </w:r>
      <w:r>
        <w:tab/>
        <w:t>Wsparcie usług w ramach istniejących mieszkań treningowych, wspomaganych lub mieszkań z usługami/ze wsparciem jest możliwe wyłącznie pod warunkiem zwiększenia liczby miejsc w danym mieszkaniu, bez pogorszenia jakości świadczonych usług lub w przypadku mieszkań treningowych oraz mieszkań z usługami/ze wsparciem o charakterze treningowym, objęcia nowych osób, które dotychczas nie korzystały ze wsparcia (typ 3).</w:t>
      </w:r>
      <w:r>
        <w:br/>
        <w:t>18.</w:t>
      </w:r>
      <w:r>
        <w:tab/>
        <w:t>Poprzez wsparcie kadry mieszkań treningowych i wspomaganych należy rozumieć wsparcie w zakresie usług szkoleniowych (typ 3).</w:t>
      </w:r>
      <w:r>
        <w:br/>
        <w:t>19.</w:t>
      </w:r>
      <w:r>
        <w:tab/>
        <w:t>Zakłada się wsparcie procesu usamodzielniania osób przebywających w placówkach całodobowych na podstawie indywidualnych planów usamodzielniania lub zapewnienie usług w społ. lokalnej (typ 4).</w:t>
      </w:r>
      <w:r>
        <w:br/>
        <w:t>20.</w:t>
      </w:r>
      <w:r>
        <w:tab/>
        <w:t>Osoby w wieku 65+ w niekorzystnej sytuacji społ.-ekonom. będą miały dostęp do usług finansowanych z EFS+ bez wkładu finansowego.</w:t>
      </w:r>
      <w:r>
        <w:br/>
        <w:t>21.</w:t>
      </w:r>
      <w:r>
        <w:tab/>
        <w:t>Możliwe będzie zatrudnienie osób z Ukrainy znających j. polski w stopniu komunikatywnym jako osoby pracujące w podmiotach opieki zdrowotnej i podmiotach/instytucjach świadczących usługi społ. (celem zwiększenia komunikacji między cudzoziemcem a pracownikiem instytucji świadczącej usługi).</w:t>
      </w:r>
      <w:r>
        <w:br/>
        <w:t>22.</w:t>
      </w:r>
      <w:r>
        <w:tab/>
        <w:t>Wnioskodawcą w ramach typu 5 mogą być wyłącznie podmioty spełniające definicję organizacji społeczeństwa obywatelskiego.</w:t>
      </w:r>
      <w:r>
        <w:br/>
        <w:t>23.</w:t>
      </w:r>
      <w:r>
        <w:tab/>
        <w:t>Preferowane będą projekty wynikające z GPR.</w:t>
      </w:r>
      <w:r>
        <w:br/>
        <w:t>24.</w:t>
      </w:r>
      <w:r>
        <w:tab/>
        <w:t>Przewidywane wsparcie z Budżetu Państwa w ramach środków określonych w Kontrakcie Programowym dla Województwa Lubelskiego i zgodnie z zał. 33.</w:t>
      </w:r>
      <w:r>
        <w:br/>
      </w:r>
    </w:p>
    <w:p w14:paraId="240F2A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A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A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A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A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A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A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A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A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A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A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A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A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A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A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A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w przypadku państwowych jednostek budżetowych: 5%</w:t>
      </w:r>
    </w:p>
    <w:p w14:paraId="240F2A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A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A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A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A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A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A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A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A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A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Organizacje społeczne i związki wyznaniowe, Przedsiębiorstwa, Służby publiczne</w:t>
      </w:r>
    </w:p>
    <w:p w14:paraId="240F2A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A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kadra realizująca działania w obszarze usług społecznych, migranci i ich otoczenie, opiekunowie faktyczni, organizacje społeczeństwa obywatelskiego, osoby narażone na umieszczenie w instytucjach całodobowych lub przebywające w instytucjach całodobowych, osoby z niepełnosprawnościami i ich otoczenie (m.in. rodzina, środowisko lokalne), osoby zagrożone wykluczeniem społecznym, otoczenie osób dotkniętych ubóstwem i wykluczeniem społecznym, otoczenie osób zagrożonych ubóstwem lub wykluczeniem społecznym</w:t>
      </w:r>
    </w:p>
    <w:p w14:paraId="240F2A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A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dzienny_opiekun, integracja_społeczna, kształcenie_kadr, mieszkania_treningowe, mieszkania_wspomagane, opieka_całodobowa, osoby_z_niepełnosprawnościami, placówki_wsparcia_dziennego, usługi_społeczne, włączenie_społeczne</w:t>
      </w:r>
    </w:p>
    <w:p w14:paraId="240F2A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A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A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A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A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A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A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A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A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240F2A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WLWK-PL0CO05 - Liczba organizacji społeczeństwa obywatelskiego wspartych w co najmniej jednym z następujących obszarów: standardy i procedury zarządzania, refleksyjność, wydolność finansowa, rzecznictwo, jakość usług, współpraca międzysektorowa</w:t>
      </w:r>
    </w:p>
    <w:p w14:paraId="240F2A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WLWK-PL0CO06 - Liczba organizacji społeczeństwa obywatelskiego wspartych w zakresie wdrażania nowych metod działania lub rodzajów usług</w:t>
      </w:r>
    </w:p>
    <w:p w14:paraId="240F2A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240F2A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40F2A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A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A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240F2A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WLWK-PLKLCO01 - Liczba osób objętych usługami w zakresie wspierania rodziny i pieczy zastępczej</w:t>
      </w:r>
    </w:p>
    <w:p w14:paraId="240F2A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240F2A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A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A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A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A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WLWK-PL0CO07 - Liczba przedstawicieli organizacji społeczeństwa obywatelskiego (w tym wolontariuszy) objętych wsparciem w programie</w:t>
      </w:r>
    </w:p>
    <w:p w14:paraId="240F2A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A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WLWK-PL0CR02 - Liczba organizacji społeczeństwa obywatelskiego, które poprawiły lub wprowadziły nowe metody działania lub rodzaje usług</w:t>
      </w:r>
    </w:p>
    <w:p w14:paraId="240F2A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WLWK-PL0CR01 - Liczba organizacji społeczeństwa obywatelskiego, które zwiększyły swój potencjał organizacyjny w co najmniej jednym z następujących obszarów: standardy i procedury zarządzania, refleksyjność, wydolność finansowa, rzecznictwo, jakość usług, współpraca międzysektorowa</w:t>
      </w:r>
    </w:p>
    <w:p w14:paraId="240F2A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WLWK-PLKLCR05 - Liczba osób, które opuściły opiekę instytucjonalną dzięki wsparciu w programie</w:t>
      </w:r>
    </w:p>
    <w:p w14:paraId="240F2A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A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240F2A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240F2A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WLWK-PL0CR03 - Liczba przedstawicieli organizacji społeczeństwa obywatelskiego, którzy zdobyli nowe umiejętności, wiedzę lub uzyskali kwalifikacje</w:t>
      </w:r>
    </w:p>
    <w:p w14:paraId="240F2A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240F2A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WLWK-PLKLCR06 - Liczba utworzonych w programie miejsc świadczenia usług wspierania rodziny i pieczy zastępczej istniejących po zakończeniu projektu</w:t>
      </w:r>
    </w:p>
    <w:p w14:paraId="240F2A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A9A"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7" w:name="_Toc241668231"/>
      <w:r>
        <w:rPr>
          <w:rFonts w:ascii="Calibri" w:hAnsi="Calibri" w:cs="Calibri"/>
          <w:sz w:val="32"/>
        </w:rPr>
        <w:t>Działanie FELU.08.06 Usługi zdrowotne</w:t>
      </w:r>
      <w:bookmarkEnd w:id="67"/>
    </w:p>
    <w:p w14:paraId="240F2A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A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EFS+.CP4.K -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p>
    <w:p w14:paraId="240F2A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A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53 940 214,00</w:t>
      </w:r>
    </w:p>
    <w:p w14:paraId="240F2A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A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47 899 316,00</w:t>
      </w:r>
    </w:p>
    <w:p w14:paraId="240F2A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A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158 - Działania w celu zwiększenia równego i szybkiego dostępu do dobrej jakości trwałych i przystępnych cenowo usług, 161 - Działania na rzecz poprawy dostępu do opieki długoterminowej (z wyłączeniem infrastruktury)</w:t>
      </w:r>
    </w:p>
    <w:p w14:paraId="240F2A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A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Opracowanie i realizacja programów profilaktycznych dotyczących profilaktyki chorób będących istotnym problemem zdrowotnym regionu.</w:t>
      </w:r>
      <w:r>
        <w:br/>
        <w:t>2.</w:t>
      </w:r>
      <w:r>
        <w:tab/>
        <w:t>Wsparcie procesu deinstytucjonalizacji opieki medycznej, w tym:</w:t>
      </w:r>
      <w:r>
        <w:br/>
        <w:t>a)</w:t>
      </w:r>
      <w:r>
        <w:tab/>
        <w:t>na podstawie modeli wypracowanych na poziomie krajowym,</w:t>
      </w:r>
      <w:r>
        <w:br/>
        <w:t>b)</w:t>
      </w:r>
      <w:r>
        <w:tab/>
        <w:t>w zakresie psychiatrii osób dorosłych oraz wsparcie skierowane dla dzieci i młodzieży w ramach przedsięwzięcia priorytetowego uzgodnionego w Kontrakcie Programowym dla Województwa Lubelskiego,</w:t>
      </w:r>
      <w:r>
        <w:br/>
        <w:t>c)</w:t>
      </w:r>
      <w:r>
        <w:tab/>
        <w:t>wdrażanie standardów dostępności w POZ, AOS i szpitalach,</w:t>
      </w:r>
      <w:r>
        <w:br/>
        <w:t>d)</w:t>
      </w:r>
      <w:r>
        <w:tab/>
        <w:t>wdrażanie modeli opieki koordynowanej,</w:t>
      </w:r>
      <w:r>
        <w:br/>
        <w:t>e)</w:t>
      </w:r>
      <w:r>
        <w:tab/>
        <w:t>rozwój rozwiązań regionalnych z zakresu telemedycyny, które otrzymały pozytywną opinię w procesie oceny MZ,</w:t>
      </w:r>
      <w:r>
        <w:br/>
        <w:t>f)</w:t>
      </w:r>
      <w:r>
        <w:tab/>
        <w:t>kompleksowe programy opieki długoterminowej.</w:t>
      </w:r>
      <w:r>
        <w:br/>
        <w:t>Kluczowe warunki realizacji projektów:</w:t>
      </w:r>
      <w:r>
        <w:br/>
        <w:t>Każdorazowo do ogłoszonego naboru projektów ION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t>
      </w:r>
      <w:r>
        <w:tab/>
        <w:t>Interwencje w obszarze zdrowia podlegają koordynacji w ramach Komitetu Sterującego i uwzględniają obligatoryjne rekomendacje Komitetu Sterującego. (typy 1-2)</w:t>
      </w:r>
      <w:r>
        <w:br/>
        <w:t>4.</w:t>
      </w:r>
      <w:r>
        <w:tab/>
        <w:t>Realizacja RPZ dotyczącego profilaktyki chorób będących istotnym problemem zdrowotnym regionu jest poprzedzona analizą epidemiologiczną danego terytorium i grup docelowych m.in. w oparciu o mapę potrzeb zdrowotnych. Analiza musi uwzględniać odpowiednie dla danego programu elementy, takie jak skala zapadalności, wiek oraz płeć osób planowanych do objęcia RPZ. (typ 1)</w:t>
      </w:r>
      <w:r>
        <w:br/>
        <w:t>5.</w:t>
      </w:r>
      <w:r>
        <w:tab/>
        <w:t>Za istotny problem zdrowotny regionu uznaje się (typ 1):</w:t>
      </w:r>
      <w:r>
        <w:br/>
        <w:t>a)</w:t>
      </w:r>
      <w:r>
        <w:tab/>
        <w:t xml:space="preserve">problem, który w porównaniu z innymi regionami kraju sytuuje go w szczególnie trudnej sytuacji pod względem zapadalności i umieralności (wskaźnik wyższy niż średnia dla kraju) lub </w:t>
      </w:r>
      <w:r>
        <w:br/>
        <w:t xml:space="preserve">b) problem w ramach którego odnotowano istotny wzrost zapadalności i umieralności na terenie regionu w okresie 10 lat lub </w:t>
      </w:r>
      <w:r>
        <w:br/>
        <w:t>c)</w:t>
      </w:r>
      <w:r>
        <w:tab/>
        <w:t xml:space="preserve">problem powodowany przez czynniki chorobotwórcze zidentyfikowany i wskazany przez samorząd województwa jako istotny na podstawie wiarygodnych danych, wynikających przede wszystkim z map potrzeb zdrowotnych. </w:t>
      </w:r>
      <w:r>
        <w:br/>
        <w:t>6.</w:t>
      </w:r>
      <w:r>
        <w:tab/>
        <w:t xml:space="preserve">RPZ dotyczący profilaktyki chorób będących istotnym problemem zdrowotnym regionu, spełnia następujące warunki (typ 1): </w:t>
      </w:r>
      <w:r>
        <w:br/>
        <w:t>a)</w:t>
      </w:r>
      <w:r>
        <w:tab/>
        <w:t xml:space="preserve">jest dostępny dla grup szczególnie wrażliwych i zapewnia ich udział. Oznacza to, że w pierwszej kolejności należy zidentyfikować osoby, które mogą mieć problemy z uczestnictwem w tym programie, przeanalizować ich potrzeby, a następnie opracować wsparcie dla nich w ramach programu: ukierunkowane informacje, transport, pomoc (asystenci, tłumacze ustni itp.), reorganizacja godzin pracy, mobilne usługi w zakresie badań przesiewowych itp.; </w:t>
      </w:r>
      <w:r>
        <w:br/>
        <w:t>b)</w:t>
      </w:r>
      <w:r>
        <w:tab/>
        <w:t xml:space="preserve">jest ukierunkowany przede wszystkim na „białe plamy” – obszary, na których wskaźniki zapadalności i umieralności z powodu chorób są najwyższe w regionie, zaś dostęp do działań profilaktycznych jest utrudniony. Dopiero po zabezpieczeniu tych obszarów, program może być realizowany w innych obszarach, aby zmniejszyć nierówności w dostępie do opieki zdrowotnej; </w:t>
      </w:r>
      <w:r>
        <w:br/>
        <w:t>c)</w:t>
      </w:r>
      <w:r>
        <w:tab/>
        <w:t>powinien promować koordynację opieki zdrowotnej – tj. być realizowane w sposób skoordynowany zakładający współpracę jednostek POZ, AOS oraz szpitali, o ile przyniesie to wartość dodaną dla realizacji programu;</w:t>
      </w:r>
      <w:r>
        <w:br/>
        <w:t>d)</w:t>
      </w:r>
      <w:r>
        <w:tab/>
        <w:t>uwzględnia działania wspierające kadrę POZ i AOS (szkolenia, reorganizacja pracy, zachęty do świadczenia opieki na terenach odległych), o ile przyniesie to wartość dodaną dla realizacji programu;</w:t>
      </w:r>
      <w:r>
        <w:br/>
        <w:t>e)</w:t>
      </w:r>
      <w:r>
        <w:tab/>
        <w:t>zapewnia koordynację usług zdrowotnych i społecznych, w zależności od potrzeb pacjentów;</w:t>
      </w:r>
      <w:r>
        <w:br/>
        <w:t>f)</w:t>
      </w:r>
      <w:r>
        <w:tab/>
        <w:t>nie powinien obejmować leczenia,</w:t>
      </w:r>
      <w:r>
        <w:br/>
        <w:t>7.</w:t>
      </w:r>
      <w:r>
        <w:tab/>
        <w:t xml:space="preserve">RPZ, który przewiduje usługi zdrowotne wymienione w katalogu świadczeń gwarantowanych jako podstawowe i jednocześnie niezbędne dla realizacji tego programu, może być uznany za wykraczający poza zakres świadczeń gwarantowanych i niezastępujący świadczeń opieki zdrowotnej finansowanych ze środków publicznych. Warunkiem jest, by obejmował także usługi zdrowotne ponadstandardowe, stanowiące wartość dodaną do funkcjonującego systemu opieki zdrowotnej, opracowane w logiczną całość oraz skierowane do zdefiniowanej grupy docelowej. Taki program musi wnosić wartość dodaną np. poprzez wprowadzanie nowych rozwiązań systemowych zwiększających skuteczność usług zdrowotnych i powinien przewidywać możliwość funkcjonowania wypracowanych rezultatów (przynajmniej w zakresie rozwiązań funkcjonalnych, czyli np. koordynacji procesu badań i leczenia) po zakończeniu ich finansowania ze środków EFS+. (typ 1) </w:t>
      </w:r>
      <w:r>
        <w:br/>
        <w:t>8.</w:t>
      </w:r>
      <w:r>
        <w:tab/>
        <w:t>Działania w zakresie deinstytucjonalizacji (DI) usług zdrowotnych skupiają się na rozwoju usług świadczonych w społeczności lokalnej, w szczególności na wsparciu (typ 2 a),b), d), f)):</w:t>
      </w:r>
      <w:r>
        <w:br/>
        <w:t>a)</w:t>
      </w:r>
      <w:r>
        <w:tab/>
        <w:t xml:space="preserve">działalności lub tworzenia nowych pozainstytucjonalnych miejsc opieki medycznej dla osób potrzebujących wsparcia w codziennym funkcjonowaniu, w tym osób starszych; </w:t>
      </w:r>
      <w:r>
        <w:br/>
        <w:t>b)</w:t>
      </w:r>
      <w:r>
        <w:tab/>
        <w:t>w zakresie opieki długoterminowej udzielanej w warunkach domowych osobom potrzebującym wsparcia w codziennym funkcjonowaniu, w szczególności pielęgniarskiej opieki długoterminowej domowej;</w:t>
      </w:r>
      <w:r>
        <w:br/>
        <w:t>c)</w:t>
      </w:r>
      <w:r>
        <w:tab/>
        <w:t>opieki paliatywnej i hospicyjnej w formach zdeinstytucjonalizowanych;</w:t>
      </w:r>
      <w:r>
        <w:br/>
        <w:t>d)</w:t>
      </w:r>
      <w:r>
        <w:tab/>
        <w:t xml:space="preserve">dla opiekunów prawnych lub faktycznych osób potrzebujących wsparcia w codziennym funkcjonowaniu (np. wsparcie psychologiczne, szkolenia w zakresie prawidłowego udzielania codziennej opieki); </w:t>
      </w:r>
      <w:r>
        <w:br/>
        <w:t>e)</w:t>
      </w:r>
      <w:r>
        <w:tab/>
        <w:t>rozwoju Centrów Zdrowia Psychicznego dla dorosłych*.</w:t>
      </w:r>
      <w:r>
        <w:br/>
        <w:t>*Wsparcie procesu DI opieki medycznej w zakresie psychiatrii obejmuje również wsparcie dla dzieci i młodzieży (typ 2b). Rozwój usług świadczonych w społeczności lokalnej będzie realizowany w ramach II etapu operacyjnego (wdrożeniowego).</w:t>
      </w:r>
      <w:r>
        <w:br/>
        <w:t>9. W ramach wsparcia usług zdrowotnych nie są finansowane usługi opieki instytucjonalnej - nie są tworzone nowe miejsca opieki w formach instytucjonalnych, nie są utrzymywane istniejące miejsca w tych placówkach, nie są realizowane usługi na rzecz osób w nich przebywających, z zastrzeżeniem pkt 10 (typ 2 a),b), d), f)).</w:t>
      </w:r>
      <w:r>
        <w:br/>
        <w:t xml:space="preserve">10. Wsparcie w zakresie świadczenia usług zdrowotnych dla osób będących w opiece instytucjonalnej możliwe jest wyłącznie w celu przejścia tych osób do opieki realizowanej w formie usług świadczonych w społeczności lokalnej. Wsparcie to musi przyczyniać się do zwiększenia liczby miejsc świadczenia usług w społeczności lokalnej (typ 2 a),b), d), f)). </w:t>
      </w:r>
      <w:r>
        <w:br/>
        <w:t xml:space="preserve">11. Działania w zakresie DI usług zdrowotnych muszą być zgodne ze „Strategią Deinstytucjonalizacji: opieka zdrowotna nad osobami starszymi” lub „Strategią Deinstytucjonalizacji: opieka zdrowotna nad osobami z zaburzeniami psychicznymi”, będącymi załącznikami do dokumentu „Zdrowa Przyszłość. Ramy strategiczne dla systemu ochrony zdrowia na lata 2021–2027, z perspektywą do 2030 r.”. (typy 2a), b), d), f)) </w:t>
      </w:r>
      <w:r>
        <w:br/>
        <w:t>12.</w:t>
      </w:r>
      <w:r>
        <w:tab/>
        <w:t>Działania w zakresie DI psychiatrii muszą być zgodne z wdrażanymi przez MZ reformami w zakresie psychiatrii. (typ 2b))</w:t>
      </w:r>
      <w:r>
        <w:br/>
        <w:t>13.</w:t>
      </w:r>
      <w:r>
        <w:tab/>
        <w:t xml:space="preserve">Działania w zakresie dostępności podmiotów leczniczych powinny skupiać się na wdrożeniu wypracowanych przez MZ w ramach projektu PO WER „Dostępność Plus dla zdrowia” standardów dostępności w podmiotach wykonujących działalność leczniczą świadczących POZ lub opiekę szpitalną (typ 2c)) </w:t>
      </w:r>
      <w:r>
        <w:br/>
        <w:t>14.</w:t>
      </w:r>
      <w:r>
        <w:tab/>
        <w:t>Działania w zakresie dostępności podmiotów leczniczych mogą dotyczyć także podmiotów świadczących AOS, zgodnie ze standardem, który zostanie wypracowany w FERS. (typ 2c))</w:t>
      </w:r>
      <w:r>
        <w:br/>
        <w:t>15.</w:t>
      </w:r>
      <w:r>
        <w:tab/>
        <w:t>Działania w zakresie poprawy dostępu do świadczeń w oparciu o telemedycynę powinny skupiać się w szczególności na upowszechnieniu rozwiązań telemedycznych w opiece zdrowotnej, np. w zakresie teleradiologii. Wdrażane powinny być rozwiązania regionalne z zakresu telemedycyny, które otrzymały pozytywną opinię w procesie oceny dokonywanej przez MZ. (typ 2 e))</w:t>
      </w:r>
      <w:r>
        <w:br/>
        <w:t>16.</w:t>
      </w:r>
      <w:r>
        <w:tab/>
        <w:t>W obszarze zdrowia możliwe będą szkolenia i wsparcie kadr jako element projektu. Wsparcie kadr medycznych i niemedycznych (w tym m.in. kadr administracyjnych i zarządzających) w obszarach istotnych z punktu widzenia funkcjonowania ochrony zdrowia może być udzielane co do zasady jako element projektu (np. w zakresie profilaktyki czy DI usług zdrowotnych). Wsparcie tego rodzaju musi być niezbędne do zrealizowania całości zaplanowanej interwencji (projektu). (typ 1-2 za wyjątkiem typu 2b zakładającego wsparcie procesu DI opieki medycznej w zakresie psychiatrii dla dzieci i młodzieży w ramach przedsięwzięcia priorytetowego stanowiącego odstępstwo od Linii demarkacyjnej uzgodnionego w ramach Kontraktu Programowego dla Województwa Lubelskiego, realizowanego w ramach dwóch projektów: I - szkoleniowego, II - funkcjonowania Regionalnego Centrum Zdrowia Psychicznego dla Dzieci i Młodzieży)</w:t>
      </w:r>
      <w:r>
        <w:br/>
        <w:t>17. Osoba korzystająca ze wsparcia szkoleniowego w FEL nie otrzymuje jednocześnie analogicznego wsparcia z innych programów finansowanych ze środków polityki spójności.</w:t>
      </w:r>
      <w:r>
        <w:br/>
        <w:t>18. Możliwe będzie zatrudnianie osób z Ukrainy znających j. polski w stopniu komunikatywnym jako osoby pracujące w podmiotach opieki zdrowotnej (celem zwiększenia komunikacji między cudzoziemcem a pracownikiem instytucji świadczącej usługi) (typ 1-2).</w:t>
      </w:r>
      <w:r>
        <w:br/>
        <w:t>19. Preferowane będą projekty wynikające z Gminnych Programów Rewitalizacji.</w:t>
      </w:r>
      <w:r>
        <w:br/>
        <w:t>20. Przewidywane wsparcie z Budżetu Państwa w ramach środków określonych w Kontrakcie Programowym dla Województwa Lubelskiego i zgodnie z zał. 33.</w:t>
      </w:r>
    </w:p>
    <w:p w14:paraId="240F2A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A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A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A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A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A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A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A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A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A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A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A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A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A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A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A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(typ 1, 2a-f), 5% (typ 2b tryb niekonkurencyjny), w przypadku państwowych jednostek budżetowych: 5%</w:t>
      </w:r>
    </w:p>
    <w:p w14:paraId="240F2A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A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A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A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A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A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A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A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A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A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Organizacje społeczne i związki wyznaniowe, Przedsiębiorstwa, Służby publiczne</w:t>
      </w:r>
    </w:p>
    <w:p w14:paraId="240F2A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A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i młodzież, kadra realizująca działania w obszarze usług społecznych, migranci i ich otoczenie, opiekunowie faktyczni, osoby narażone na umieszczenie w instytucjach całodobowych lub przebywające w instytucjach całodobowych, osoby z niepełnosprawnościami i ich otoczenie (m.in. rodzina, środowisko lokalne), osoby zagrożone wykluczeniem społecznym, osoby, w tym osoby w niekorzystnej sytuacji w dostępie do usług zdrowotnych wskazane w programach profilaktycznych, otoczenie osób dotkniętych ubóstwem i wykluczeniem społecznym, otoczenie osób zagrożonych ubóstwem lub wykluczeniem społecznym, pracownicy podmiotów leczniczych</w:t>
      </w:r>
    </w:p>
    <w:p w14:paraId="240F2A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A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kadry_medyczne, opieka_koordynowana, POZ, profilaktyka, telemedycyna, usługi_społeczne, usługi_zdrowotne, zdrowie, zdrowie_psychiczne</w:t>
      </w:r>
    </w:p>
    <w:p w14:paraId="240F2A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A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A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A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A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A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A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A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A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240F2A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240F2A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40F2A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A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A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WLWK-PLKCO02 - Liczba osób objętych programem polityki zdrowotnej</w:t>
      </w:r>
    </w:p>
    <w:p w14:paraId="240F2A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240F2A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240F2A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A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A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A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WLWK-PLKCO01 - Liczba podmiotów wykonujących działalność leczniczą objętych w projekcie wsparciem w zakresie poprawy dostępności zgodnie ze standardem dostępności</w:t>
      </w:r>
    </w:p>
    <w:p w14:paraId="240F2A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A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WLWK-PLDKCO01 - Liczba wdrożonych programów polityki zdrowotnej</w:t>
      </w:r>
    </w:p>
    <w:p w14:paraId="240F2A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PROG-FELCO19 - Liczba opracowanych programów profilaktycznych w zakresie chorób będących istotnym problemem zdrowotnym regionu</w:t>
      </w:r>
    </w:p>
    <w:p w14:paraId="240F2A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A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A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240F2A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240F2A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WLWK-PLKCR01 - Liczba podmiotów wykonujących działalność leczniczą, które poprawiły dostępność zgodnie ze standardem dostępności</w:t>
      </w:r>
    </w:p>
    <w:p w14:paraId="240F2A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240F2A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PROG-FELCR12 - Liczba pozytywnych/warunkowych opinii Agencji Oceny Technologii Medycznych i Taryfikacji wydanych w stosunku do opracowanych w ramach projektu programów profilaktycznych w zakresie chorób będących istotnym problemem zdrowotnym regionu</w:t>
      </w:r>
    </w:p>
    <w:p w14:paraId="240F2A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AE2"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8" w:name="_Toc241668232"/>
      <w:r>
        <w:rPr>
          <w:rFonts w:ascii="Calibri" w:hAnsi="Calibri" w:cs="Calibri"/>
          <w:sz w:val="32"/>
        </w:rPr>
        <w:t>Działanie FELU.08.07 Usługi społeczne w ramach Zintegrowanych Inwestycji Terytorialnych</w:t>
      </w:r>
      <w:bookmarkEnd w:id="68"/>
    </w:p>
    <w:p w14:paraId="240F2A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A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EFS+.CP4.K -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p>
    <w:p w14:paraId="240F2A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A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6 706 322,00</w:t>
      </w:r>
    </w:p>
    <w:p w14:paraId="240F2A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A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5 864 010,00</w:t>
      </w:r>
    </w:p>
    <w:p w14:paraId="240F2A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A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158 - Działania w celu zwiększenia równego i szybkiego dostępu do dobrej jakości trwałych i przystępnych cenowo usług, 161 - Działania na rzecz poprawy dostępu do opieki długoterminowej (z wyłączeniem infrastruktury)</w:t>
      </w:r>
    </w:p>
    <w:p w14:paraId="240F2A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A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Projekty w zakresie:</w:t>
      </w:r>
      <w:r>
        <w:br/>
        <w:t>a)</w:t>
      </w:r>
      <w:r>
        <w:tab/>
        <w:t>rozwoju usług opiekuńczych świadczonych w społeczności lokalnej, w formach dziennych i całodobowych,</w:t>
      </w:r>
      <w:r>
        <w:br/>
        <w:t>b)</w:t>
      </w:r>
      <w:r>
        <w:tab/>
        <w:t>wsparcia tworzenia warunków i usług w zakresie opieki osób potrzebujących wsparcia w codziennym funkcjonowaniu w miejscu zamieszkania,</w:t>
      </w:r>
      <w:r>
        <w:br/>
        <w:t>c)</w:t>
      </w:r>
      <w:r>
        <w:tab/>
        <w:t>wsparcia opiekunów faktycznych (nieformalnych) osób potrzebujących wsparcia w codziennym funkcjonowaniu, w tym opieka wytchnieniowa, poradnictwo, kształcenie potrzebne do opieki,</w:t>
      </w:r>
      <w:r>
        <w:br/>
        <w:t>d)</w:t>
      </w:r>
      <w:r>
        <w:tab/>
        <w:t>szkolenia kadr na potrzeby świadczenia usług w społeczności lokalnej,</w:t>
      </w:r>
      <w:r>
        <w:br/>
        <w:t>e)</w:t>
      </w:r>
      <w:r>
        <w:tab/>
        <w:t>wsparcia dla tworzenia lub funkcjonowania placówek świadczących usługi społeczne w społeczności lokalnej i ich usług, w tym CUS,</w:t>
      </w:r>
      <w:r>
        <w:br/>
        <w:t>f)</w:t>
      </w:r>
      <w:r>
        <w:tab/>
        <w:t>wsparcia procesu deinstytucjonalizacji instytucji całodobowych.</w:t>
      </w:r>
      <w:r>
        <w:br/>
        <w:t>2.</w:t>
      </w:r>
      <w:r>
        <w:tab/>
        <w:t>Rozwój usług asystenckich wspierających aktywność społeczną, edukacyjną lub zawodową osób z niepełnosprawnościami.</w:t>
      </w:r>
      <w:r>
        <w:br/>
        <w:t>3.</w:t>
      </w:r>
      <w:r>
        <w:tab/>
        <w:t>Wsparcie w zakresie tworzenia i funkcjonowania mieszkań treningowych i wspomaganych, w tym wsparcie kadry tych mieszkań oraz innych rozwiązań łączących wsparcie społeczne i mieszkaniowe.</w:t>
      </w:r>
      <w:r>
        <w:br/>
        <w:t>4.</w:t>
      </w:r>
      <w:r>
        <w:tab/>
        <w:t>Wsparcie procesu usamodzielniania osób przebywających w placówkach całodobowych.</w:t>
      </w:r>
      <w:r>
        <w:br/>
        <w:t>Kluczowe warunki realizacji projektów:</w:t>
      </w:r>
      <w:r>
        <w:br/>
        <w:t>Każdorazowo do ogłoszonego naboru projektów ION określi szczegółowe zasady realizacji wsparcia w zakresie poszczególnych typów projektów.</w:t>
      </w:r>
      <w:r>
        <w:br/>
        <w:t>1.Projekty realizowane będą zgodnie z:</w:t>
      </w:r>
      <w:r>
        <w:br/>
        <w:t>a)Wytycznymi dot. kwalifikowalności wydatków na lata 2021-2027,</w:t>
      </w:r>
      <w:r>
        <w:br/>
        <w:t>b)Wytycznymi dot. realizacji zasad równościowych w ramach funduszy unijnych na lata 2021-2027,</w:t>
      </w:r>
      <w:r>
        <w:br/>
        <w:t>c)Wytycznymi dot. monitorowania postępu rzeczowego realizacji programów na lata 2021-2027.</w:t>
      </w:r>
      <w:r>
        <w:br/>
        <w:t>2.Beneficjent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3.Wsparcie z zakresu usług społ. dotyczy wyłącznie usług świadczonych w społeczności lokalnej (typ 1a,b,d,e,f-4).</w:t>
      </w:r>
      <w:r>
        <w:br/>
        <w:t>4.Wsparcie oferowane w projektach jest dostosowane do indywidualnych potrzeb, potencjału i osobistych preferencji odbiorców tych usług (zwłaszcza w przypadku osób potrzebujących wsparcia w codziennym funkcjonowaniu i OzN). Ponadto niezbędne jest dopasowanie wsparcia dla osób wykluczonych komunikacyjnie (typy 1-4).</w:t>
      </w:r>
      <w:r>
        <w:br/>
        <w:t>5.W projektach dotyczących usług społecznych w zakresie opieki długoterminowej możliwe będzie finansowanie leczenia jako uzupełnienie usług społ. ( typ 1a,b,e,f,3,4).</w:t>
      </w:r>
      <w:r>
        <w:br/>
        <w:t>6.W przypadku świadczenia usług w placówce zapewniającej całodobową opiekę, nie jest ona zlokalizowana na nieruchomości, na której znajduje się inna placówka świadcząca opiekę instytucjonalną. Zasada ta nie dotyczy placówek zapewniających opiekę wytchnieniową w formie krótkookresowego pobytu, pod warunkiem zachowania pozostałych zasad świadczenia usług w społeczności lokalnej (typ 1a, c, e,3).</w:t>
      </w:r>
      <w:r>
        <w:br/>
        <w:t>7.Usługi opiekuńcze są świadczone dla osób potrzebujących wsparcia w codziennym funkcjonowaniu, a usługi asystenckie w szczególności dla OzN (typ 1a,b,c,e,f, 2, 3, 4).</w:t>
      </w:r>
      <w:r>
        <w:br/>
        <w:t>8.Wsparcie dla usług opiekuńczych lub asystenckich prowadzi każdorazowo do zwiększenia liczby miejsc świadczenia usług w społeczności lokalnej oraz liczby osób objętych usługami świadczonymi w społeczności lokalnej przez danego beneficjenta w stosunku do danych z roku poprzedzającego rok złożenia wniosku o dofinansowanie projektu. Obowiązek zwiększania liczby miejsc świadczenia usług oraz liczby osób objętych tymi usługami nie dotyczy:</w:t>
      </w:r>
      <w:r>
        <w:br/>
        <w:t>a)</w:t>
      </w:r>
      <w:r>
        <w:tab/>
        <w:t>wsparcia dla usług opiekuńczych świadczonych przez opiekunów faktycznych;</w:t>
      </w:r>
      <w:r>
        <w:br/>
        <w:t>b)</w:t>
      </w:r>
      <w:r>
        <w:tab/>
        <w:t>wsparcia realizowanego przez CUS (którego skala powinna wynikać z lokalnej diagnozy potrzeb);</w:t>
      </w:r>
      <w:r>
        <w:br/>
        <w:t>c)</w:t>
      </w:r>
      <w:r>
        <w:tab/>
        <w:t xml:space="preserve">wsparcia realizowanego uprzednio w ramach programów rządowych. </w:t>
      </w:r>
      <w:r>
        <w:br/>
        <w:t>Obowiązek zwiększania liczby osób objętych usługami nie oznacza zakazu jednoczesnego wsparcia osób dotychczas obejmowanych usługami przez beneficjenta (typ 1a,b,c, 2,3).</w:t>
      </w:r>
      <w:r>
        <w:br/>
        <w:t>9.Wsparcie w ramach projektu nie może spowodować:</w:t>
      </w:r>
      <w:r>
        <w:br/>
        <w:t>a)zmniejszenia dotychczasowego finansowania usług asystenckich lub opiekuńczych przez beneficjenta oraz</w:t>
      </w:r>
      <w:r>
        <w:br/>
        <w:t>b)zastąpienia środkami projektu dotychczasowego finansowania usług ze środków innych niż europejskie.</w:t>
      </w:r>
      <w:r>
        <w:br/>
        <w:t>Wskazane warunki nie dotyczą kontynuacji wsparcia realizowanego ze środków EFS+ (typ 1a,b,c, 2, 3).</w:t>
      </w:r>
      <w:r>
        <w:br/>
        <w:t>10.Wsparcie osób będących w długoterminowej opiece instytucjonalnej jest możliwe wyłącznie w celu przejścia tych osób do opieki realizowanej w formie usług świadczonych w społeczności lokalnej. Wsparcie to musi przyczyniać się do zwiększenia liczby miejsc świadczenia usług opiekuńczych świadczonych w społeczności lokalnej (typ 1f, 4).</w:t>
      </w:r>
      <w:r>
        <w:br/>
        <w:t>11.Dopuszczalne jest finansowanie działań umożliwiających pozostanie OzN i osób potrzebujących wsparcia w codziennym funkcjonowaniu w społeczności lokalnej, pozwalające tym osobom na w miarę możliwości samodzielne funkcjonowanie, w tym działania zwiększające mobilność, autonomię i bezpieczeństwo tych osób takie jak np. likwidowanie barier architektonicznych w miejscu zamieszkania (mieszkania adaptowalne), sfinansowanie tworzenia i rozwoju wypożyczalni sprzętu wspomagającego (zwiększającego samodzielność tych osób) i sprzętu pielęgnacyjnego (niezbędnego do opieki nad tymi osobami), sfinansowanie wypożyczenia lub zakupu tego sprzętu, usługi dowożenia posiłków, usługi transportu indywidualnego. Tego rodzaju działania realizowane są jako element kompleksowych projektów dotyczących usług asystenckich lub usług opiekuńczych i mogą być finansowane z EFS+ lub w ramach cross-financingu (typ 1 a-c,e,f,2,3,4).</w:t>
      </w:r>
      <w:r>
        <w:br/>
        <w:t xml:space="preserve">12.Wsparcie dla mieszkań treningowych i mieszkań wspomaganych oraz innych mieszkań, w których oferowane są usługi społeczne i wsparcie osób je zamieszkujących (dalej: mieszkania z usługami/ze wsparciem) polega na tworzeniu miejsc w nowo tworzonych lub istniejących mieszkaniach (typ 3). </w:t>
      </w:r>
      <w:r>
        <w:br/>
        <w:t>13.Wsparcie usług w ramach istniejących mieszkań treningowych, mieszkań wspomaganych lub mieszkań z usługami/ze wsparciem jest możliwe wyłącznie pod warunkiem zwiększenia liczby miejsc w danym mieszkaniu, bez pogorszenia jakości świadczonych usług lub w przypadku mieszkań treningowych oraz mieszkań z usługami/ze wsparciem o charakterze treningowym, objęcia nowych osób, które dotychczas nie korzystały ze wsparcia (typ 3,).</w:t>
      </w:r>
      <w:r>
        <w:br/>
        <w:t>14.Poprzez wsparcie kadry mieszkań treningowych i mieszkań wspomaganych należy rozumieć wsparcie w zakresie usług szkoleniowych (typ 3).</w:t>
      </w:r>
      <w:r>
        <w:br/>
        <w:t>15.Działania związane z tworzeniem CUS oraz wsparciem świadczonych przez nie usług realizowane są zgodnie z ustawą z dnia 19 lipca 2019r. o realizowaniu usług społecznych przez CUS (typ 1e).</w:t>
      </w:r>
      <w:r>
        <w:br/>
        <w:t>16.Wsparcie związane z tworzeniem CUS może uwzględniać koszty opracowania lokalnej diagnozy potrzeb i potencjału wspólnoty samorządowej w zakresie usług społ. oraz utworzenia planu wdrażania CUS (typ 1e).</w:t>
      </w:r>
      <w:r>
        <w:br/>
        <w:t>17. W przypadku wsparcia usług realizowanych przez CUS, mogą być finansowane usługi wchodzące w zakres interwencji EFS+, obejmujące usługi z zakresu: wsparcia rodziny i pieczy zastępczej, wsparcia osób z niepełnosprawnościami, osób starszych, osób w kryzysie bezdomności, dotkniętych wykluczeniem z dostępu do mieszkań lub zagrożonych bezdomnością, aktywizacji zawodowej, usług w mieszkaniach wspomaganych, treningowych oraz mieszkaniach z usługami/ze wsparciem, reintegracji społeczno-zawodowej, usług zdrowotnych, opiekuńczych, a także wsparcia opiekunów faktycznych (typ 1e).</w:t>
      </w:r>
      <w:r>
        <w:br/>
        <w:t>18.W przypadku wsparcia CUS utworzonych w PO WER, nie nastąpi podwójne finansowanie wydatków. Wsparcie usług świadczonych przez te CUS (może dotyczyć wyłącznie dofinansowania kosztów związanych ze świadczeniem tych usług (w tym kosztów świadczenia usług oraz wynagrodzeń zespołu do spraw organizowania usług społecznych i stanowiska organizatora społeczności lokalnej wskazanych w art.23 ustawy z dnia 19 lipca 2019r. o realizowaniu usług społecznych przez centrum usług społecznych) i nie obejmuje finansowania wydatków związanych w bieżącym funkcjonowaniem danego CUS (np. wynajem pomieszczeń biurowych, księgowość) (typ 1e)).</w:t>
      </w:r>
      <w:r>
        <w:br/>
        <w:t>19.Zakłada się wsparcie procesu usamodzielniania osób przebywających w placówkach całodobowych na podstawie indywidualnych planów usamodzielniania lub zapewnienie usług w społeczności lokalnej (typ 4).</w:t>
      </w:r>
      <w:r>
        <w:br/>
        <w:t>20.Osoby w wieku 65+ w niekorzystnej sytuacji społeczno-ekonomicznej będą miały dostęp do usług finansowanych z EFS+ bez wkładu finansowego.</w:t>
      </w:r>
      <w:r>
        <w:br/>
        <w:t>21.Możliwe będzie zatrudnienie osób z Ukrainy znających j. polski w stopniu komunikatywnym jako osoby pracujące w podmiotach opieki zdrowotnej i podmiotach/instytucjach świadczących usługi społ. (celem zwiększenia komunikacji między cudzoziemcem a pracownikiem instytucji świadczącej usługi).</w:t>
      </w:r>
      <w:r>
        <w:br/>
        <w:t>22.Przewidywane wsparcie z Budżetu Państwa w ramach środków określonych w Kontrakcie Programowym dla Województwa Lubelskiego i zgodnie z zał. 33.</w:t>
      </w:r>
    </w:p>
    <w:p w14:paraId="240F2A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A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A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A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A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A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A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A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A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A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A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A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A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A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A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A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w:t>
      </w:r>
    </w:p>
    <w:p w14:paraId="240F2A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A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A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B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B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B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B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B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B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B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 Służby publiczne, Zintegrowane Inwestycje Terytorialne (ZIT)</w:t>
      </w:r>
    </w:p>
    <w:p w14:paraId="240F2B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B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kadra realizująca działania w obszarze usług społecznych, migranci i ich otoczenie, opiekunowie faktyczni, osoby narażone na umieszczenie w instytucjach całodobowych lub przebywające w instytucjach całodobowych, osoby świadczące usługi społeczne w społeczności lokalnej, osoby z niepełnosprawnościami i ich otoczenie (m.in. rodzina, środowisko lokalne), osoby zagrożone wykluczeniem społecznym, otoczenie osób dotkniętych ubóstwem i wykluczeniem społecznym, otoczenie osób zagrożonych ubóstwem lub wykluczeniem społecznym</w:t>
      </w:r>
    </w:p>
    <w:p w14:paraId="240F2B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B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integracja_społeczna, kształcenie_kadr, mieszkania_treningowe, mieszkania_wspomagane, opieka_całodobowa, osoby_z_niepełnosprawnościami, placówki_wsparcia_dziennego, usługi_społeczne, włączenie_społeczne, Zintegrowane_Inwestycje_Terytorialne</w:t>
      </w:r>
    </w:p>
    <w:p w14:paraId="240F2B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B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B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B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B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B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B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B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B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240F2B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240F2B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40F2B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B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B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240F2B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WLWK-PLKLCO01 - Liczba osób objętych usługami w zakresie wspierania rodziny i pieczy zastępczej</w:t>
      </w:r>
    </w:p>
    <w:p w14:paraId="240F2B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240F2B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B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B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B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B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B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WLWK-PLKLCR05 - Liczba osób, które opuściły opiekę instytucjonalną dzięki wsparciu w programie</w:t>
      </w:r>
    </w:p>
    <w:p w14:paraId="240F2B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B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240F2B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240F2B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240F2B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WLWK-PLKLCR06 - Liczba utworzonych w programie miejsc świadczenia usług wspierania rodziny i pieczy zastępczej istniejących po zakończeniu projektu</w:t>
      </w:r>
    </w:p>
    <w:p w14:paraId="240F2B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B27"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9" w:name="_Toc241668233"/>
      <w:r>
        <w:rPr>
          <w:rFonts w:ascii="Calibri" w:hAnsi="Calibri" w:cs="Calibri"/>
          <w:sz w:val="32"/>
        </w:rPr>
        <w:t>Działanie FELU.08.08 Wsparcie rodziny i pieczy zastępczej</w:t>
      </w:r>
      <w:bookmarkEnd w:id="69"/>
    </w:p>
    <w:p w14:paraId="240F2B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B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EFS+.CP4.L - Wspieranie integracji społecznej osób zagrożonych ubóstwem lub wykluczeniem społecznym, w tym osób najbardziej potrzebujących i dzieci</w:t>
      </w:r>
    </w:p>
    <w:p w14:paraId="240F2B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B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26 332 290,00</w:t>
      </w:r>
    </w:p>
    <w:p w14:paraId="240F2B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B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23 024 964,00</w:t>
      </w:r>
    </w:p>
    <w:p w14:paraId="240F2B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B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163 - Promowanie integracji społecznej osób zagrożonych ubóstwem lub wykluczeniem społecznym, w tym osób najbardziej potrzebujących i dzieci</w:t>
      </w:r>
    </w:p>
    <w:p w14:paraId="240F2B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B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Rozwój usług:</w:t>
      </w:r>
      <w:r>
        <w:br/>
        <w:t>a)</w:t>
      </w:r>
      <w:r>
        <w:tab/>
        <w:t>dla rodzin wychowujących dzieci, w tym przeżywających trudności opiekuńczo-wychowawcze,</w:t>
      </w:r>
      <w:r>
        <w:br/>
        <w:t>b)</w:t>
      </w:r>
      <w:r>
        <w:tab/>
        <w:t>w zakresie przeciwdziałania przemocy, w tym przemocy w rodzinie.</w:t>
      </w:r>
      <w:r>
        <w:br/>
        <w:t>2.</w:t>
      </w:r>
      <w:r>
        <w:tab/>
        <w:t>Wsparcie procesu deinstytucjonalizacji pieczy zastępczej oraz innych całodobowych instytucji opieki nad dziećmi i rodziną oraz szkolenie kadr.</w:t>
      </w:r>
      <w:r>
        <w:br/>
        <w:t>3.</w:t>
      </w:r>
      <w:r>
        <w:tab/>
        <w:t>Rozwój usług wsparcia dla dzieci i młodzieży przebywającej w różnego rodzaju ośrodkach / instytucjach całodobowych.</w:t>
      </w:r>
      <w:r>
        <w:br/>
        <w:t>4.</w:t>
      </w:r>
      <w:r>
        <w:tab/>
        <w:t>Kompleksowe wsparcie osób usamodzielnianych i opuszczających pieczę zastępczą oraz inne instytucje opieki całodobowej, w których przebywają dzieci i młodzież.</w:t>
      </w:r>
      <w:r>
        <w:br/>
        <w:t>5.</w:t>
      </w:r>
      <w:r>
        <w:tab/>
        <w:t>Działania wspierające system adopcji (w tym wsparcie kandydatów na rodziców adopcyjnych) oraz działania na rzecz wsparcia preadopcyjnego i postadopcyjnego.</w:t>
      </w:r>
      <w:r>
        <w:br/>
        <w:t>6.</w:t>
      </w:r>
      <w:r>
        <w:tab/>
        <w:t>Rozwój usług specjalistycznych i interwencyjnych dla osób doświadczających kryzysu, przemocy, dyskryminacji, poprzez m.in. tworzenie i rozwój ośrodków interwencji kryzysowej i punktów interwencji kryzysowej (m.in. poradnictwo psychologiczne, socjalne, terapeutyczne, prawne lub innych specjalistów, grupy wsparcia, telefony zaufania/telefoniczna interwencja kryzysowa).</w:t>
      </w:r>
      <w:r>
        <w:br/>
        <w:t>7.</w:t>
      </w:r>
      <w:r>
        <w:tab/>
        <w:t>Działania ukierunkowane na łagodzenie skutków społecznych ubóstwa, w tym działania integracyjne, aktywizacyjne, wspierające skierowane do dzieci i rodzin.</w:t>
      </w:r>
      <w:r>
        <w:br/>
        <w:t>Kluczowe warunki realizacji projektów:</w:t>
      </w:r>
      <w:r>
        <w:br/>
        <w:t>Każdorazowo do ogłoszonego naboru projektów Instytucja Organizująca Nabór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t>
      </w:r>
      <w:r>
        <w:tab/>
        <w:t>Wsparcie w zakresie aktywnej integracji skierowane jest do osób, rodzin i środowisk wymagających wsparcia w zależności od zidentyfikowanych potrzeb (typ 7).</w:t>
      </w:r>
      <w:r>
        <w:br/>
        <w:t>4. Wsparcie dla rodziny i pieczy zastępczej odbywa się zgodnie z ustawą z dnia 9 czerwca 2011 r. o wspieraniu rodziny i systemie pieczy zastępczej z zastrzeżeniem pkt 5 (typ 1-5).</w:t>
      </w:r>
      <w:r>
        <w:br/>
        <w:t>5.</w:t>
      </w:r>
      <w:r>
        <w:tab/>
        <w:t>Z EFS+ nie są finansowane świadczenia wypłacane na podstawie ustawy z dnia 9 czerwca 2011 r. o wspieraniu rodziny i systemie pieczy zastępczej. Świadczenia te mogą stanowić wkład własny do projektu (typ 4).</w:t>
      </w:r>
      <w:r>
        <w:br/>
        <w:t>6.</w:t>
      </w:r>
      <w:r>
        <w:tab/>
        <w:t>Usługi wsparcia rodziny w postaci pomocy w opiece i wychowaniu dzieci w formie placówek wsparcia dziennego polegają na tworzeniu nowych miejsc opieki i wychowania w ramach nowo tworzonych placówek wsparcia dziennego lub na wsparciu istniejących placówek (typ 1 a, 2).</w:t>
      </w:r>
      <w:r>
        <w:br/>
        <w:t>7.</w:t>
      </w:r>
      <w:r>
        <w:tab/>
        <w:t>Wsparcie istniejących placówek wsparcia dziennego jest możliwe wyłącznie pod warunkiem ( typ 1 a, 2)</w:t>
      </w:r>
      <w:r>
        <w:br/>
        <w:t>a)</w:t>
      </w:r>
      <w:r>
        <w:tab/>
        <w:t>zwiększenia liczby miejsc w tych placówkach lub</w:t>
      </w:r>
      <w:r>
        <w:br/>
        <w:t>b)</w:t>
      </w:r>
      <w:r>
        <w:tab/>
        <w:t>rozszerzenia oferty wsparcia.</w:t>
      </w:r>
      <w:r>
        <w:br/>
        <w:t>8.</w:t>
      </w:r>
      <w:r>
        <w:tab/>
        <w:t>Nie są tworzone nowe miejsca ani wspierane istniejące miejsca opieki w placówkach świadczących opiekę instytucjonalną (typ 1a,b, 2, 3, 6).</w:t>
      </w:r>
      <w:r>
        <w:br/>
        <w:t>9.</w:t>
      </w:r>
      <w:r>
        <w:tab/>
        <w:t>Działania mające na celu wsparcie dzieci i młodzieży przebywających w całodobowych instytucjach opieki nie mogą wzmacniać potencjału instytucjonalnego tych placówek (np. zatrudnienie personelu, remonty, wyposażenie). Mogą dotyczyć wsparcia dzieci i młodzieży oraz kadr w zakresie zgodnym z ideą deinstytucjonalizacji (typ 2, 3 ).</w:t>
      </w:r>
      <w:r>
        <w:br/>
        <w:t>10.</w:t>
      </w:r>
      <w:r>
        <w:tab/>
        <w:t>W razie konieczności umieszczenia w placówce opiekuńczo-wychowawczej typu rodzinnego rodzeństwa, za zgodą dyrektora tej placówki oraz po uzyskaniu zezwolenia wojewody, dopuszczalne jest umieszczenie w tym samym czasie większej liczby dzieci (maksymalnie 10) (typ 2).</w:t>
      </w:r>
      <w:r>
        <w:br/>
        <w:t>11.</w:t>
      </w:r>
      <w:r>
        <w:tab/>
        <w:t>W odniesieniu do wyzwań jakie niesie wsparcie dzieci i młodzieży w ośrodkach/instytucjach całodobowych dopuszczalne jest wsparcie rozwoju deinstytucjonalizacji usług m.in. placówek opiekuńczo-terapeutycznych, domów pomocy społecznej dla dzieci i młodzieży z niepełnosprawnością intelektualną, schronisk dla nieletnich, specjalnych ośrodków szkolno-wychowawczych, młodzieżowych ośrodków wychowawczych itp. działania w tym zakresie dotyczą wsparcia osób, a nie wzmocnienia potencjału instytucjonalnego placówek. Wsparcie obejmować będzie wzmocnienie samodzielności dzieci i młodzieży przebywających w placówkach (typ 2, 3).</w:t>
      </w:r>
      <w:r>
        <w:br/>
        <w:t>12.</w:t>
      </w:r>
      <w:r>
        <w:tab/>
        <w:t>Realizowane będą usługi wspierające i interwencyjne dla rodzin zagrożonych wykluczeniem społecznym, dysfunkcją i niewydolnością wychowawczą. Możliwe będzie wsparcie przez usługi w środowisku dla rodzin wychowujących dzieci, w tym przeżywających trudności opiekuńczo-wychowawcze, rozwój środowiskowych form i placówek wsparcia dziennego lub całodobowego, interwencji kryzysowej, rozwój asystentury rodzinnej, poradnictwa specjalistycznego, diagnozy i terapii, mediacji, rodzin wspierających, ze szczególnym uwzględnieniem podmiotowości dzieci (typ 1a)).</w:t>
      </w:r>
      <w:r>
        <w:br/>
        <w:t>13.</w:t>
      </w:r>
      <w:r>
        <w:tab/>
        <w:t>Przewiduje się wspieranie rozwoju usług w zakresie przeciwdziałania przemocy, w tym przemocy w rodzinie, poprzez ułatwianie dostępu do poradnictwa specjalistycznego i usług terapeutycznych dla ofiar oraz sprawców przemocy (programy korekcyjno-edukacyjne), a także rozwój współpracy instytucji działających w tym obszarze. Działania w tym zakresie mają charakter wspierający wdrożenie założeń Europejskiej gwarancji dla dzieci (EGD) (typ 1b).</w:t>
      </w:r>
      <w:r>
        <w:br/>
        <w:t>14.</w:t>
      </w:r>
      <w:r>
        <w:tab/>
        <w:t>Wsparcie osób usamodzielnianych będzie mogło obejmować kompleksowe działania m.in. w postaci wsparcia opiekunów/asystentów usamodzielniania, budowania kręgów wsparcia, mieszkań wspomaganych lub treningowych i „usamodzielniania na próbę”. Wsparcie osoby w doświadczaniu samodzielnego życia poza pieczą zastępczą lub instytucją, z możliwością powrotu do pieczy lub instytucji całodobowej, może obejmować m.in. pobyt w mieszkaniu wspomaganym lub dofinansowanie najmu mieszkania, wsparcie związane z poszukiwaniem pracy lub kontynuacją nauki (typ 4).</w:t>
      </w:r>
      <w:r>
        <w:br/>
        <w:t>15.</w:t>
      </w:r>
      <w:r>
        <w:tab/>
        <w:t>Wsparcie systemu adopcji przewiduje wsparcie kandydatów na rodziców adopcyjnych), wsparcie preadopcyjne (np. diagnostyczne, szkoleniowe, doradcze) i postadopcyjne (np. diagnostyczne, rehabilitacyjne, terapeutyczne psychologiczne). Istotną wagę będzie miało również wsparcie adopcji dzieci z niepełnosprawnościami (typ 5).</w:t>
      </w:r>
      <w:r>
        <w:br/>
        <w:t>16.</w:t>
      </w:r>
      <w:r>
        <w:tab/>
        <w:t>W zakresie rozwoju usług specjalistycznych i interwencyjnych dla osób doświadczających kryzysu, przemocy, dyskryminacji interwencja obejmie rozwój usług specjalistycznych i interwencyjnych, w tym dzieci i rodzin oraz tworzenie i rozwój ośrodków interwencji kryzysowej oraz punktów interwencji kryzysowej, w tym podnoszenie kompetencji kadr, zapewnienie dostępu do usług osobom dotkniętym kryzysem i ich otoczenia m.in. poradnictwo specjalistyczne, psychologiczne, socjalne, konsultacje lekarskie, psychoterapia, telefoniczna interwencja kryzysowa, interwencyjne mieszkania/miejsca noclegowe (typ 6).</w:t>
      </w:r>
      <w:r>
        <w:br/>
        <w:t>17.</w:t>
      </w:r>
      <w:r>
        <w:tab/>
        <w:t>Preferowane będą projekty wynikające z Gminnych Programów Rewitalizacji.</w:t>
      </w:r>
      <w:r>
        <w:br/>
        <w:t>18. Przewidywane wsparcie z Budżetu Państwa w ramach środków określonych w Kontrakcie Programowym dla Województwa Lubelskiego i zgodnie z zał. 33.</w:t>
      </w:r>
    </w:p>
    <w:p w14:paraId="240F2B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B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B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B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B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B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2B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B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2B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B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B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B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B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B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B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B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w przypadku państwowych jednostek budżetowych: 5%</w:t>
      </w:r>
    </w:p>
    <w:p w14:paraId="240F2B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B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B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B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B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B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B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B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B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B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Służby publiczne</w:t>
      </w:r>
    </w:p>
    <w:p w14:paraId="240F2B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B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i młodzież zagrożona ubóstwem lub wykluczeniem społecznym, instytucje prowadzące pracę z rodziną i ich pracownicy oraz osoby korzystające ze wsparcia tych instytucji, kadry świadczące usługi interwencji kryzysowej, kandydaci do pełnienia funkcji w ramach pieczy zastępczej, jak i kandydaci na rodziców adopcyjnych oraz członkowie ich rodzin, osoby doświadczające przemocy, w tym przemocy w rodzinie i ich otoczenie, osoby potrzebujące interwencji kryzysowej, osoby usamodzielniane i opuszczające pieczę zastępczą, osoby zagrożone ubóstwem i wykluczeniem społecznym, otoczenie osób zagrożonych ubóstwem lub wykluczeniem społecznym, rodzina, w tym rodzina dysfunkcyjna lub rodzina przeżywająca trudności w wypełnianiu funkcji opiekuńczo-wychowawczych, rodziny (naturalne, zastępcze, adopcyjne) z dziećmi i ich otoczenie, rodziny zastępcze i kandydaci na rodziny zastępcze</w:t>
      </w:r>
    </w:p>
    <w:p w14:paraId="240F2B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B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kształcenie_kadr, opieka_całodobowa, opieka_nad_dziećmi, piecza_zastępcza, usługi_społeczne</w:t>
      </w:r>
    </w:p>
    <w:p w14:paraId="240F2B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B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B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B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WLWK-EECO01 - Całkowita liczba osób objętych wsparciem</w:t>
      </w:r>
    </w:p>
    <w:p w14:paraId="240F2B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B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B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B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240F2B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240F2B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40F2B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B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B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240F2B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WLWK-PLKLCO01 - Liczba osób objętych usługami w zakresie wspierania rodziny i pieczy zastępczej</w:t>
      </w:r>
    </w:p>
    <w:p w14:paraId="240F2B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240F2B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B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B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B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B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B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WLWK-PLKLCR01 - Liczba dzieci i młodzieży, które opuściły opiekę instytucjonalną dzięki wsparciu w programie</w:t>
      </w:r>
    </w:p>
    <w:p w14:paraId="240F2B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WLWK-PLKLCR05 - Liczba osób, które opuściły opiekę instytucjonalną dzięki wsparciu w programie</w:t>
      </w:r>
    </w:p>
    <w:p w14:paraId="240F2B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B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240F2B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240F2B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240F2B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240F2B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WLWK-PLKLCR06 - Liczba utworzonych w programie miejsc świadczenia usług wspierania rodziny i pieczy zastępczej istniejących po zakończeniu projektu</w:t>
      </w:r>
    </w:p>
    <w:p w14:paraId="240F2B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B6D"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0" w:name="_Toc241668234"/>
      <w:r>
        <w:rPr>
          <w:rFonts w:ascii="Calibri" w:hAnsi="Calibri" w:cs="Calibri"/>
          <w:sz w:val="32"/>
        </w:rPr>
        <w:t>Działanie FELU.08.09 Integracja społeczna osób najbardziej potrzebujących wsparcia</w:t>
      </w:r>
      <w:bookmarkEnd w:id="70"/>
    </w:p>
    <w:p w14:paraId="240F2B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B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EFS+.CP4.L - Wspieranie integracji społecznej osób zagrożonych ubóstwem lub wykluczeniem społecznym, w tym osób najbardziej potrzebujących i dzieci</w:t>
      </w:r>
    </w:p>
    <w:p w14:paraId="240F2B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B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7 986 605,00</w:t>
      </w:r>
    </w:p>
    <w:p w14:paraId="240F2B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B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6 983 490,00</w:t>
      </w:r>
    </w:p>
    <w:p w14:paraId="240F2B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B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163 - Promowanie integracji społecznej osób zagrożonych ubóstwem lub wykluczeniem społecznym, w tym osób najbardziej potrzebujących i dzieci</w:t>
      </w:r>
    </w:p>
    <w:p w14:paraId="240F2B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B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Aktywizacja społeczna osób najbardziej zagrożonych ubóstwem lub wykluczeniem społecznym, w tym osób starszych.</w:t>
      </w:r>
      <w:r>
        <w:br/>
        <w:t>2.</w:t>
      </w:r>
      <w:r>
        <w:tab/>
        <w:t>Rozwój usług dla osób w kryzysie bezdomności oraz zagrożonych bezdomnością lub wykluczeniem mieszkaniowym.</w:t>
      </w:r>
      <w:r>
        <w:br/>
        <w:t>3.</w:t>
      </w:r>
      <w:r>
        <w:tab/>
        <w:t>Wsparcie działań na rzecz integracji społeczności zagrożonych wykluczeniem społecznym, w tym realizacja działań na rzecz rozwoju lokalnego.</w:t>
      </w:r>
      <w:r>
        <w:br/>
        <w:t>Kluczowe warunki realizacji projektów:</w:t>
      </w:r>
      <w:r>
        <w:br/>
        <w:t>Każdorazowo do ogłoszonego naboru projektów Instytucja Organizująca Nabór określi szczegółowe zasady realizacji wsparcia w zakresie poszczególnych typów projektów.</w:t>
      </w:r>
      <w:r>
        <w:br/>
        <w:t>1.</w:t>
      </w:r>
      <w:r>
        <w:tab/>
        <w:t>Projekty realizowane będą zgodnie z:</w:t>
      </w:r>
      <w:r>
        <w:br/>
        <w:t>b)</w:t>
      </w:r>
      <w:r>
        <w:tab/>
        <w:t>Wytycznymi dot. kwalifikowalności wydatków na lata 2021-2027,</w:t>
      </w:r>
      <w:r>
        <w:br/>
        <w:t>c)</w:t>
      </w:r>
      <w:r>
        <w:tab/>
        <w:t>Wytycznymi dot. realizacji zasad równościowych w ramach funduszy unijnych na lata 2021-2027,</w:t>
      </w:r>
      <w:r>
        <w:br/>
        <w:t>d)</w:t>
      </w:r>
      <w:r>
        <w:tab/>
        <w:t>Wytycznymi dot. monitorowania postępu rzeczowego realizacji programów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t>
      </w:r>
      <w:r>
        <w:tab/>
        <w:t>Przewiduje się działania skierowane do osób zagrożonych ubóstwem lub wykluczeniem społecznym, w tym edukacyjne, doradcze, integracyjne, informacyjne, z zakresu poprawy stanu zdrowia, pozwalające na włączenie lub utrzymanie aktywności społecznej, służące wzmacnianiu więzi społecznych i samopomocowych, z uwzględnieniem indywidualnych potrzeb i zaplanowanych wraz z odbiorcami wsparcia (typ 1,2, 3).</w:t>
      </w:r>
      <w:r>
        <w:br/>
        <w:t>4.</w:t>
      </w:r>
      <w:r>
        <w:tab/>
        <w:t>Wsparciem zostaną objęte osoby w kryzysie bezdomności, zagrożone bezdomnością lub wykluczeniem mieszkaniowym poprzez usługi środowiskowe (m.in. w postaci doradztwa, streetworkingu, pomocy prawnej i psychologicznej), wykorzystanie tworzonych lub istniejących mieszkań treningowych i wspomaganych lub wsparcie funkcjonowania tych mieszkań oraz innych rozwiązań łączących wsparcie społeczne i mieszkaniowe dla osób w kryzysie bezdomności, w tym programu „Najpierw mieszkanie” (typ 2).</w:t>
      </w:r>
      <w:r>
        <w:br/>
        <w:t>5.</w:t>
      </w:r>
      <w:r>
        <w:tab/>
        <w:t>Wsparcie obejmować będzie działania na rzecz aktywności osób starszych w zakresie edukacji, integracji wewnątrz i międzypokoleniowej, przeciwdziałania e-wykluczeniu, zwiększenia aktywności w społecznościach lokalnych (typ 1 i 3).</w:t>
      </w:r>
      <w:r>
        <w:br/>
        <w:t xml:space="preserve">6. Wsparcie w zakresie aktywnej integracji skierowane jest do osób, rodzin i środowisk wymagających wsparcia w zależności od zidentyfikowanych potrzeb (typ 3). </w:t>
      </w:r>
      <w:r>
        <w:br/>
        <w:t>7. Preferowane będą projekty wynikające z Gminnych Programów Rewitalizacji.</w:t>
      </w:r>
      <w:r>
        <w:br/>
        <w:t>8. Przewidywane wsparcie z Budżetu Państwa w ramach środków określonych w Kontrakcie Programowym dla Województwa Lubelskiego i zgodnie z zał. 33.</w:t>
      </w:r>
    </w:p>
    <w:p w14:paraId="240F2B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B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B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B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B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B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2B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B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2B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B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B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B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B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B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B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B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w przypadku państwowych jednostek budżetowych: 5%</w:t>
      </w:r>
    </w:p>
    <w:p w14:paraId="240F2B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B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B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B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B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B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B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B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B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B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Służby publiczne</w:t>
      </w:r>
    </w:p>
    <w:p w14:paraId="240F2B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B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w kryzysie bezdomności i zagrożone wykluczeniem mieszkaniowym, osoby zagrożone ubóstwem i wykluczeniem społecznym, otoczenie osób zagrożonych ubóstwem lub wykluczeniem społecznym, społeczności lokalne</w:t>
      </w:r>
    </w:p>
    <w:p w14:paraId="240F2B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B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integracja_społeczna</w:t>
      </w:r>
    </w:p>
    <w:p w14:paraId="240F2B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B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B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B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WLWK-EECO01 - Całkowita liczba osób objętych wsparciem</w:t>
      </w:r>
    </w:p>
    <w:p w14:paraId="240F2B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B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B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B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40F2B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B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B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B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B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B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B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B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240F2B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2BA7"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71" w:name="_Toc241668235"/>
      <w:r>
        <w:rPr>
          <w:rFonts w:ascii="Calibri" w:hAnsi="Calibri" w:cs="Calibri"/>
          <w:i w:val="0"/>
          <w:sz w:val="32"/>
        </w:rPr>
        <w:t>Priorytet FELU.09 Zaspokajanie potrzeb rynku pracy</w:t>
      </w:r>
      <w:bookmarkEnd w:id="71"/>
    </w:p>
    <w:p w14:paraId="240F2B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2B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2B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2B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240F2B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2B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240F2B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2B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2B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2B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230 526 768,00</w:t>
      </w:r>
    </w:p>
    <w:p w14:paraId="240F2B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2B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202 645 665,00</w:t>
      </w:r>
    </w:p>
    <w:p w14:paraId="240F2B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2B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B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BB7"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2" w:name="_Toc241668236"/>
      <w:r>
        <w:rPr>
          <w:rFonts w:ascii="Calibri" w:hAnsi="Calibri" w:cs="Calibri"/>
          <w:sz w:val="32"/>
        </w:rPr>
        <w:t>Działanie FELU.09.01 Aktywizacja zawodowa – projekty PUP</w:t>
      </w:r>
      <w:bookmarkEnd w:id="72"/>
    </w:p>
    <w:p w14:paraId="240F2B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B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240F2B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B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2B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B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131 057 712,00</w:t>
      </w:r>
    </w:p>
    <w:p w14:paraId="240F2B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B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111 399 055,00</w:t>
      </w:r>
    </w:p>
    <w:p w14:paraId="240F2B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B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134 - Działania na rzecz poprawy dostępu do zatrudnienia, 136 - Wsparcie szczególne na rzecz zatrudnienia ludzi młodych i integracji społeczno-gospodarczej ludzi młodych, 137 - Wsparcie na rzecz samozatrudnienia i zakładania działalności gospodarczej typu start-up</w:t>
      </w:r>
    </w:p>
    <w:p w14:paraId="240F2B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B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Kompleksowa aktywizacja zawodowa osób bezrobotnych (w tym dotacje na samozatrudnienie) w celu zwiększenia ich szans na znalezienie zatrudnienia – realizowana wyłącznie przez powiatowe urzędy pracy.</w:t>
      </w:r>
      <w:r>
        <w:br/>
        <w:t>Kluczowe warunki realizacji projektów:</w:t>
      </w:r>
      <w:r>
        <w:br/>
        <w:t>Każdorazowo do ogłoszonego naboru projektów ION określi szczegółowe zasady realizacji wsparcia w zakresie poszczególnych typów projektów</w:t>
      </w:r>
      <w:r>
        <w:br/>
        <w:t>1.</w:t>
      </w:r>
      <w:r>
        <w:tab/>
        <w:t>Projekty realizowane będą zgodnie z:</w:t>
      </w:r>
      <w:r>
        <w:br/>
        <w:t>a)</w:t>
      </w:r>
      <w:r>
        <w:tab/>
        <w:t>Wytycznymi dotyczącymi kwalifikowalności wydatków na lata 2021-2027,</w:t>
      </w:r>
      <w:r>
        <w:br/>
        <w:t>b)</w:t>
      </w:r>
      <w:r>
        <w:tab/>
        <w:t>Wytycznymi dotyczącymi realizacji projektów z udziałem środków Europejskiego Funduszu Społecznego Plus w regionalnych programach na lata 2021–2027,</w:t>
      </w:r>
      <w:r>
        <w:br/>
        <w:t>c)</w:t>
      </w:r>
      <w:r>
        <w:tab/>
        <w:t>Wytycznymi dotyczącymi realizacji zasad równościowych w ramach funduszy unijnych na lata 2021-2027,</w:t>
      </w:r>
      <w:r>
        <w:br/>
        <w:t>d)</w:t>
      </w:r>
      <w:r>
        <w:tab/>
        <w:t>Wytycznymi dotyczącymi monitorowania postępu rzeczowego realizacji programów na lata 2021-2027,</w:t>
      </w:r>
      <w:r>
        <w:br/>
        <w:t>e)</w:t>
      </w:r>
      <w:r>
        <w:tab/>
        <w:t>Wytycznymi dotyczącymi wyboru projektów na lata 2021-2027</w:t>
      </w:r>
      <w:r>
        <w:br/>
        <w:t>f)</w:t>
      </w:r>
      <w:r>
        <w:tab/>
        <w:t>Ustawą z dnia 20 marca 2025 r. o rynku pracy i służbach zatrudnienia.</w:t>
      </w:r>
      <w:r>
        <w:br/>
        <w:t>2.</w:t>
      </w:r>
      <w:r>
        <w:tab/>
        <w:t>Udzielenie wsparcia musi zostać poprzedzone pogłębioną analizą umiejętności, predyspozycji i problemów zawodowych danego uczestnika projektu, m. in. poprzez opracowanie/aktualizację/realizację Indywidualnego Planu Działania, o którym mowa w art. 88 ustawy z dnia 20 marca 2025 r. o rynku pracy i służbach zatrudnienia. W ramach projektu PUP, jeżeli osoba przystępująca do projektu EFS+ posiada  aktualny Indywidualny Plan Działania, to nie musi być on ponownie przygotowywany w ramach projektu.</w:t>
      </w:r>
      <w:r>
        <w:br/>
        <w:t>3.</w:t>
      </w:r>
      <w:r>
        <w:tab/>
        <w:t>W ramach projektu PUP, pośrednictwo pracy i poradnictwo zawodowe mogą być udzielane uczestnikom, natomiast nie są finansowane w ramach projektów ze środków FP.</w:t>
      </w:r>
      <w:r>
        <w:br/>
        <w:t>4.</w:t>
      </w:r>
      <w:r>
        <w:tab/>
        <w:t>Działania skierowane do osób w wieku 18–29 lat (zarejestrowanych jako bezrobotne lub poszukujących pracy niepozostających w zatrudnieniu; należących do kategorii NEET; będących bezrobotnymi lub poszukującymi pracy niepozostającymi w zatrudnieniu absolwentami szkół i uczelni), osób, które opuściły pieczę zastępczą oraz kobiet poniżej 30 roku życia wychowujących dzieci,  są zgodne z zaleceniem Rady z dnia 30 października 2020 r. w sprawie pomostu do zatrudnienia – wzmocnienia gwarancji dla młodzieży oraz zastępującym zalecenie Rady z dnia 22 kwietnia 2013 r. w sprawie ustanowienia gwarancji dla młodzieży (Dz. Urz. UE C 372 z 04.11.2020, str. 1) i z polskim Planem Gwarancji dla młodzieży.</w:t>
      </w:r>
      <w:r>
        <w:br/>
        <w:t>5.</w:t>
      </w:r>
      <w:r>
        <w:tab/>
        <w:t>W przypadku projektów skierowanych do osób w wieku 18–29 lat zarejestrowanych jako bezrobotne odpowiednia jakość wsparcia jest zapewniona poprzez zdefiniowanie priorytetów tematycznych dla wsparcia (na podstawie diagnoz regionalnych rynków pracy), przy czym nacisk powinien zostać położony na:</w:t>
      </w:r>
      <w:r>
        <w:br/>
        <w:t>-</w:t>
      </w:r>
      <w:r>
        <w:tab/>
        <w:t>umiejętności cyfrowe;</w:t>
      </w:r>
      <w:r>
        <w:br/>
        <w:t>-</w:t>
      </w:r>
      <w:r>
        <w:tab/>
        <w:t>umiejętności niezbędne do podjęcia pracy w sektorze zielonej gospodarki;</w:t>
      </w:r>
      <w:r>
        <w:br/>
        <w:t>-</w:t>
      </w:r>
      <w:r>
        <w:tab/>
        <w:t>umiejętności niezbędne z punktu widzenia regionalnych/lokalnych specjalizacji;</w:t>
      </w:r>
      <w:r>
        <w:br/>
        <w:t>-</w:t>
      </w:r>
      <w:r>
        <w:tab/>
        <w:t>umiejętności niezbędne w zawodach związanych z usługami zdrowotnymi i opiekuńczymi.</w:t>
      </w:r>
      <w:r>
        <w:br/>
        <w:t xml:space="preserve">6. Każda osoba w wieku 18-29 lat rozpoczynająca udział w projekcie EFS+  przed sporządzeniem IPD przechodzi  ocenę umiejętności cyfrowych. PUP może odstąpić od przeprowadzenia oceny umiejętności cyfrowych, jeżeli bezrobotny lub poszukujący pracy był już poddany tej ocenie. </w:t>
      </w:r>
      <w:r>
        <w:br/>
        <w:t>7. W projektach z zakresu aktywizacji społeczno-zawodowej, dana osoba nie otrzymuje jednocześnie wsparcia w więcej niż jednym projekcie z zakresu aktywizacji społeczno-zawodowej  dofinansowanym ze środków EFS+, w tożsamym rodzajowo zakresie.</w:t>
      </w:r>
      <w:r>
        <w:br/>
        <w:t xml:space="preserve">8. W ramach projektów współfinansowanych z EFS+ wsparcie mogą otrzymać osoby zarejestrowane jako bezrobotne oraz poszukujące pracy niepozostające w zatrudnieniu. </w:t>
      </w:r>
      <w:r>
        <w:br/>
        <w:t>9. W ramach projektów PUP nie są kwalifikowalne koszty pośrednie.</w:t>
      </w:r>
      <w:r>
        <w:br/>
      </w:r>
    </w:p>
    <w:p w14:paraId="240F2B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B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40F2B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B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B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B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w:t>
      </w:r>
    </w:p>
    <w:p w14:paraId="240F2B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B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Rodziny, Pracy i Polityki Społecznej z dnia 14 lipca 2017 r. w sprawie dokonywania z Funduszu Pracy refundacji kosztów wyposażenia lub doposażenia stanowiska pracy oraz przyznawania środków na podjęcie działalności gospodarczej (Dz.U. 2017 poz. 1380, z późn. zm.)</w:t>
      </w:r>
    </w:p>
    <w:p w14:paraId="240F2B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B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240F2B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B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B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B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B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B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B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B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B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B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Służby publiczne</w:t>
      </w:r>
    </w:p>
    <w:p w14:paraId="240F2B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B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bezrobotni, osoby należące do kategorii NEET, osoby odchodzące z rolnictwa, osoby z niepełnosprawnościami lub o ograniczonej mobilności, poszukujący pracy</w:t>
      </w:r>
    </w:p>
    <w:p w14:paraId="240F2B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B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doradztwo_zawodowe, dotacje_na_miejsca_pracy, integracja_społeczna, kompetencje_społeczne, kompetencje_zawodowe, kwalifikacje, staże, szkolenie_zawodowe</w:t>
      </w:r>
    </w:p>
    <w:p w14:paraId="240F2B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B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B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B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240F2B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240F2B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WLWK-PLACO01 - Liczba osób, które otrzymały bezzwrotne środki na podjęcie działalności gospodarczej w programie</w:t>
      </w:r>
    </w:p>
    <w:p w14:paraId="240F2B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B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B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B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240F2B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WLWK-EECO08 - Liczba osób w wieku 55 lat i więcej  objętych wsparciem w programie</w:t>
      </w:r>
    </w:p>
    <w:p w14:paraId="240F2B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B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B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B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240F2B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PROG-FELCO04 - Liczba osób, którym udzielono ochrony czasowej w związku z wojną w Ukrainie, objętych wsparciem w programie</w:t>
      </w:r>
    </w:p>
    <w:p w14:paraId="240F2B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B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240F2B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B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240F2B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PROG-FELCR01 - Liczba utworzonych miejsc pracy w ramach udzielonych z EFS+ środków na podjęcie działalności gospodarczej</w:t>
      </w:r>
    </w:p>
    <w:p w14:paraId="240F2B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BF2"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3" w:name="_Toc241668237"/>
      <w:r>
        <w:rPr>
          <w:rFonts w:ascii="Calibri" w:hAnsi="Calibri" w:cs="Calibri"/>
          <w:sz w:val="32"/>
        </w:rPr>
        <w:t>Działanie FELU.09.02 Aktywizacja zawodowa</w:t>
      </w:r>
      <w:bookmarkEnd w:id="73"/>
    </w:p>
    <w:p w14:paraId="240F2B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B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240F2B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B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2B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B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20 037 030,00</w:t>
      </w:r>
    </w:p>
    <w:p w14:paraId="240F2B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B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17 533 169,00</w:t>
      </w:r>
    </w:p>
    <w:p w14:paraId="240F2B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B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134 - Działania na rzecz poprawy dostępu do zatrudnienia, 136 - Wsparcie szczególne na rzecz zatrudnienia ludzi młodych i integracji społeczno-gospodarczej ludzi młodych</w:t>
      </w:r>
    </w:p>
    <w:p w14:paraId="240F2B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B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Poprawa sytuacji na rynku pracy osób ubogich pracujących oraz osób zatrudnionych na umowach krótkoterminowych, cywilnoprawnych.</w:t>
      </w:r>
      <w:r>
        <w:br/>
        <w:t>2.</w:t>
      </w:r>
      <w:r>
        <w:tab/>
        <w:t>Realizacja ukierunkowanych schematów mobilności transnarodowej (USMT) w ramach sieci EURES - realizacja tego typu działań ma mieć charakter warunkowy, uzależniony od zdiagnozowanych potrzeb regionalnych rynków pracy.</w:t>
      </w:r>
      <w:r>
        <w:br/>
        <w:t>3.</w:t>
      </w:r>
      <w:r>
        <w:tab/>
        <w:t>Programy obejmujące instrumenty aktywizacji zawodowej osób młodych w wieku 18-29 lat należących do grupy NEET, które znajdują się w trudnej sytuacji na rynku pracy w ramach inicjatywy ALMA.</w:t>
      </w:r>
      <w:r>
        <w:br/>
        <w:t>Kluczowe warunki realizacji projektów:</w:t>
      </w:r>
      <w:r>
        <w:br/>
        <w:t>Każdorazowo do ogłoszonego naboru projektów ION określi szczegółowe zasady realizacji wsparcia w zakresie poszczególnych typów projektów</w:t>
      </w:r>
      <w:r>
        <w:br/>
        <w:t>1.</w:t>
      </w:r>
      <w:r>
        <w:tab/>
        <w:t>Projekty realizowane będą zgodnie z:</w:t>
      </w:r>
      <w:r>
        <w:br/>
        <w:t>a)</w:t>
      </w:r>
      <w:r>
        <w:tab/>
        <w:t>Wytycznymi dotyczącymi kwalifikowalności wydatków na lata 2021-2027,</w:t>
      </w:r>
      <w:r>
        <w:br/>
        <w:t>b)</w:t>
      </w:r>
      <w:r>
        <w:tab/>
        <w:t>Wytycznymi dotyczącymi realizacji projektów z udziałem środków Europejskiego Funduszu Społecznego Plus w regionalnych programach na lata 2021–2027,</w:t>
      </w:r>
      <w:r>
        <w:br/>
        <w:t>c)</w:t>
      </w:r>
      <w:r>
        <w:tab/>
        <w:t>Wytycznymi dotyczącymi realizacji zasad równościowych w ramach funduszy unijnych na lata 2021-2027,</w:t>
      </w:r>
      <w:r>
        <w:br/>
        <w:t>d)</w:t>
      </w:r>
      <w:r>
        <w:tab/>
        <w:t>Wytycznymi dotyczącymi monitorowania postępu rzeczowego realizacji programów na lata 2021-2027,</w:t>
      </w:r>
      <w:r>
        <w:br/>
        <w:t>e)</w:t>
      </w:r>
      <w:r>
        <w:tab/>
        <w:t>Wytycznymi dotyczącymi wyboru projektów na lata 2021-2027,</w:t>
      </w:r>
      <w:r>
        <w:br/>
        <w:t>f)</w:t>
      </w:r>
      <w:r>
        <w:tab/>
        <w:t>Ustawą z dnia 20 marca 2025 r. o rynku pracy i służbach zatrudnienia,</w:t>
      </w:r>
      <w:r>
        <w:br/>
        <w:t>g)</w:t>
      </w:r>
      <w:r>
        <w:tab/>
        <w:t>dokumentem KE określającym zasady interwencji pt. "ALMA: Aim- Learn-Master-Achieve. Active inclusion initiative for integrating disadvantaged young people not in education, employment or training (NEETs) through mobility. Manual of Guidance”,</w:t>
      </w:r>
      <w:r>
        <w:br/>
        <w:t>h)</w:t>
      </w:r>
      <w:r>
        <w:tab/>
        <w:t>rozporządzeniem Parlamentu Europejskiego i Rady (UE) 2016/589 z dnia 13 kwietnia 2016 r. w sprawie europejskiej sieci służb zatrudnienia (EURES), dostępu pracowników do usług w zakresie mobilności i dalszej integracji rynków pracy oraz zmiany rozporządzeń (UE) nr 492/2011 i (UE) nr 1296/2013 (Dz. Urz. UE L 107 z 22.04.2016, str. 1, z późn. zm.).</w:t>
      </w:r>
      <w:r>
        <w:br/>
        <w:t>2.</w:t>
      </w:r>
      <w:r>
        <w:tab/>
        <w:t>Zadania realizowane w ramach sieci EURES (typ projektu 2) będą mogły być realizowane wyłącznie przez podmioty uprawnione do prowadzenia pośrednictwa pracy, tj. powiatowe urzędy pracy (PUP), wojewódzkie urzędy pracy (WUP), Ochotnicze Hufce Pracy (OHP), podmioty akredytowane do prowadzenia na terenie Polski pośrednictwa pracy w ramach sieci EURES (zwane podmiotami akredytowanymi). Warunki, na jakich jest udzielane wsparcie mobilności transnarodowej realizowane w ramach sieci EURES, które może obejmować wyłącznie usługi:</w:t>
      </w:r>
      <w:r>
        <w:br/>
        <w:t>a)</w:t>
      </w:r>
      <w:r>
        <w:tab/>
        <w:t>wymienione w rozdziale IV rozporządzenia Parlamentu Europejskiego i Rady (UE) 2016/589 z dnia 13 kwietnia 2016 r. w sprawie europejskiej sieci służb zatrudnienia (EURES), dostępu pracowników do usług w zakresie mobilności i dalszej integracji rynków pracy oraz zmiany rozporządzeń (UE) nr 492/2011 i (UE) nr 1296/2013 (Dz. Urz. UE L 107 z 22.04.2016, str. 1, z późn. zm.) lub</w:t>
      </w:r>
      <w:r>
        <w:br/>
        <w:t>b)</w:t>
      </w:r>
      <w:r>
        <w:tab/>
        <w:t xml:space="preserve">pośrednictwa pracy w ramach sieci EURES, o którym mowa w art. 86 ustawy z dnia 20 marca 2025 r. o rynku pracy i służbach zatrudnienia. </w:t>
      </w:r>
      <w:r>
        <w:br/>
        <w:t>3.</w:t>
      </w:r>
      <w:r>
        <w:tab/>
        <w:t xml:space="preserve">W ramach typu projektu 2 założenia każdego projektu USMT EURES planowanego do realizacji przez WUP, OHP lub podmioty akredytowane muszą uzyskać pozytywną opinię ministra właściwego do spraw pracy (Departamentu Rynku Pracy w Ministerstwie Rodziny, Pracy i Polityki Społecznej). Założenia każdego projektu USMT EURES planowanego do realizacji przez PUP powinny uzyskać pozytywną opinię właściwego terytorialnie WUP. </w:t>
      </w:r>
      <w:r>
        <w:br/>
        <w:t>4.</w:t>
      </w:r>
      <w:r>
        <w:tab/>
        <w:t>W ramach typu 1 istotne jest zapewnienie wsparcia w ramach większego dostępu do stabilnego zatrudnienia oraz możliwości podnoszenia kwalifikacji i kompetencji/ umiejętności dla osób zatrudnionych na umowach krótkoterminowych, cywilnoprawnych oraz ubogich pracujących.</w:t>
      </w:r>
      <w:r>
        <w:br/>
        <w:t>5.</w:t>
      </w:r>
      <w:r>
        <w:tab/>
        <w:t>W ramach typu projektu 1 i 3 udzielenie wsparcia z zakresu aktywizacji zawodowej każdorazowo jest poprzedzone identyfikacją potrzeb uczestnika projektu (w tym m.in. poprzez diagnozowanie potrzeb szkoleniowych, możliwości doskonalenia zawodowego) oraz opracowaniem lub aktualizacją dla każdego uczestnika projektu Indywidualnego Planu Działania, o którym mowa w art. 88 ustawy z dnia 20 marca 2025 r. o rynku pracy i służbach zatrudnienia lub innego dokumentu pełniącego analogiczną funkcję. Dokument ten powinien określać zakres wsparcia udzielanego danej osobie, który jest z nią uzgodniony i podlega ewentualnej aktualizacji w trakcie projektu.</w:t>
      </w:r>
      <w:r>
        <w:br/>
        <w:t>6.</w:t>
      </w:r>
      <w:r>
        <w:tab/>
        <w:t>Wsparcie udzielane w ramach typu projektu 1 i 3 jest dostosowane do indywidualnych potrzeb uczestników projektów, wynikających z ich aktualnego stanu wiedzy, doświadczenia, zdolności i predyspozycji do wykonywania danego zawodu. Każdy z uczestników projektu musi otrzymać ofertę wsparcia, obejmującą takie formy pomocy, które zostaną zidentyfikowane u niego jako niezbędne w celu poprawy sytuacji na rynku pracy lub uzyskania zatrudnienia.</w:t>
      </w:r>
      <w:r>
        <w:br/>
        <w:t>7.</w:t>
      </w:r>
      <w:r>
        <w:tab/>
        <w:t>Wsparcie w ramach Działania, w odniesieniu do wszystkich typów projektów,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8.</w:t>
      </w:r>
      <w:r>
        <w:tab/>
        <w:t>W ramach wszystkich typów projektów nie będą realizowane działania służące rozwojowi przedsiębiorczości i samozatrudnienia.</w:t>
      </w:r>
      <w:r>
        <w:br/>
        <w:t>9.</w:t>
      </w:r>
      <w:r>
        <w:tab/>
        <w:t>W ramach wszystkich typów projektów 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10.</w:t>
      </w:r>
      <w:r>
        <w:tab/>
        <w:t>W ramach wszystkich typów projektów beneficjent zapewnia przejrzystość procesu rekrutacji oraz warunków realizacji poszczególnych form wsparcia.</w:t>
      </w:r>
      <w:r>
        <w:br/>
        <w:t>11.</w:t>
      </w:r>
      <w:r>
        <w:tab/>
        <w:t>W ramach typu projektu 1 i 3 efektem szkolenia będzie nabycie kwalifikacji (konkretnych efektów uczenia się uzyskiwanych w toku szkolenia) potwierdzonych odpowiednim dokumentem (np. certyfikatem), który powinien zawierać informacje na temat uzyskanych przez uczestnika efektów uczenia się w rozumieniu wytycznych ministra właściwego do spraw rozwoju regionalnego dotyczących monitorowania postępu rzeczowego realizacji programów na lata 2021–2027 i LWK 2021 dla EFS+.</w:t>
      </w:r>
      <w:r>
        <w:br/>
        <w:t>12.</w:t>
      </w:r>
      <w:r>
        <w:tab/>
        <w:t>W ramach typu projektu 3 staże w projekcie są realizowane zgodnie z zaleceniem Rady z dnia 10 marca 2014 r. w sprawie ram jakości staży (Dz. Urz. UE C 88 z 27.03.2014, str. 1) oraz z Polskimi Ramami Jakości Praktyk i Staży.</w:t>
      </w:r>
      <w:r>
        <w:br/>
        <w:t>13.</w:t>
      </w:r>
      <w:r>
        <w:tab/>
        <w:t>W ramach typu projektu 1, na etapie wyboru projektów do dofinansowania preferowane będą mogły być projekty, które będą wspierały zieloną transformację, np. szkolenia w zakresie zielonych umiejętności lub zielonych miejsc pracy poprzez podnoszenie umiejętności w celu dostosowania do nowych wymogów ekologicznych związanych między innymi z gospodarką o obiegu zamkniętym i ambicją zerowego zanieczyszczenia, lub przekwalifikowanie w celu rozpoczęcia nowej kariery w szybko rozwijających się zielonych sektorach.</w:t>
      </w:r>
      <w:r>
        <w:br/>
        <w:t>14.</w:t>
      </w:r>
      <w:r>
        <w:tab/>
        <w:t>W przypadku łączonych typów projektów, każdy z typów powinien stanowić odrębne zadanie w planowanym budżecie projektu.</w:t>
      </w:r>
      <w:r>
        <w:br/>
        <w:t>15.</w:t>
      </w:r>
      <w:r>
        <w:tab/>
        <w:t>W ramach wszystkich typów projektów, w projektach z zakresu aktywizacji społeczno-zawodowej, dana osoba nie otrzymuje jednocześnie wsparcia w więcej niż jednym projekcie z zakresu aktywizacji społeczno-zawodowej dofinansowanym ze środków EFS+, w tożsamym rodzajowo zakresie.</w:t>
      </w:r>
      <w:r>
        <w:br/>
        <w:t>16.</w:t>
      </w:r>
      <w:r>
        <w:tab/>
        <w:t>W ramach typu projektu 1 zastosowane będą preferencje punktowe w naborach konkurencyjnych dla projektów wynikających z GPR.</w:t>
      </w:r>
      <w:r>
        <w:br/>
        <w:t>17.   Przewidywane wsparcie z Budżetu Państwa w ramach środków określonych w Kontrakcie Programowym dla Województwa Lubelskiego i zgodnie z zał. 33.</w:t>
      </w:r>
    </w:p>
    <w:p w14:paraId="240F2B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C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C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C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C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C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2C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C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2C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C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C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C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C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C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C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C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 (typ projektu nr 1) 5% - (typ projektu nr 2) 1% - (typ projektu nr 3)</w:t>
      </w:r>
    </w:p>
    <w:p w14:paraId="240F2C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C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C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C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C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C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Osoby fizyczne, Partnerzy społeczni, Służby publiczne</w:t>
      </w:r>
    </w:p>
    <w:p w14:paraId="240F2C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C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bezrobotni, osoby bierne zawodowo, osoby należące do kategorii NEET, osoby odchodzące z rolnictwa, osoby z niepełnosprawnościami lub o ograniczonej mobilności, osoby zatrudnione na umowach krótkoterminowych, umowach cywilno – prawnych, ubodzy pracujący, pracodawcy i osoby poszukujące pracy korzystające ze wparcia w ramach usług sieci EURES</w:t>
      </w:r>
    </w:p>
    <w:p w14:paraId="240F2C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C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doradztwo_zawodowe, integracja_społeczna, kompetencje_społeczne, kompetencje_zawodowe, kwalifikacje, staże, szkolenie_zawodowe</w:t>
      </w:r>
    </w:p>
    <w:p w14:paraId="240F2C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C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C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C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C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C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240F2C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40F2C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240F2C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C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C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240F2C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C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240F2C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WLWK-EECO08 - Liczba osób w wieku 55 lat i więcej  objętych wsparciem w programie</w:t>
      </w:r>
    </w:p>
    <w:p w14:paraId="240F2C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C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C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C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C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240F2C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C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240F2C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C2F"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4" w:name="_Toc241668238"/>
      <w:r>
        <w:rPr>
          <w:rFonts w:ascii="Calibri" w:hAnsi="Calibri" w:cs="Calibri"/>
          <w:sz w:val="32"/>
        </w:rPr>
        <w:t>Działanie FELU.09.03 Wsparcie instytucji rynku pracy</w:t>
      </w:r>
      <w:bookmarkEnd w:id="74"/>
    </w:p>
    <w:p w14:paraId="240F2C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C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EFS+.CP4.B - Modernizacja instytucji i służb rynków pracy celem oceny i przewidywania zapotrzebowania na umiejętności oraz zapewnienia terminowej i odpowiednio dopasowanej pomocy i wsparcia na rzecz dostosowania umiejętności i kwalifikacji zawodowych do potrzeb rynku pracy oraz na rzecz przepływów i mobilności na rynku pracy</w:t>
      </w:r>
    </w:p>
    <w:p w14:paraId="240F2C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C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2C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C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16 617 944,00</w:t>
      </w:r>
    </w:p>
    <w:p w14:paraId="240F2C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C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15 787 047,00</w:t>
      </w:r>
    </w:p>
    <w:p w14:paraId="240F2C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C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139 - Działania na rzecz modernizacji i wzmocnienia instytucji i służb rynku pracy celem oceny i przewidywania zapotrzebowania na umiejętności oraz zapewnienia terminowej i dopasowanej do potrzeb pomocy, 140 - Wsparcie na rzecz dostosowania umiejętności i kwalifikacji zawodowych do potrzeb rynku pracy oraz na rzecz przepływów na rynku pracy, 141 - Wsparcie na rzecz mobilności pracowników</w:t>
      </w:r>
    </w:p>
    <w:p w14:paraId="240F2C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C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Podnoszenie kwalifikacji, kompetencji pracowników PSZ i innych instytucji rynku pracy wynikających z potrzeb regionalnego/lokalnego rynku pracy.</w:t>
      </w:r>
      <w:r>
        <w:br/>
        <w:t>2.</w:t>
      </w:r>
      <w:r>
        <w:tab/>
        <w:t>Wsparcie PSZ w świadczeniu usług w ramach sieci EURES.</w:t>
      </w:r>
      <w:r>
        <w:br/>
        <w:t>3.</w:t>
      </w:r>
      <w:r>
        <w:tab/>
        <w:t xml:space="preserve">Prowadzenie, publikowanie i upowszechnianie badań i analiz dotyczących sytuacji na regionalnym i lokalnym rynku pracy w ramach regionalnego obserwatorium rynku pracy. </w:t>
      </w:r>
      <w:r>
        <w:br/>
        <w:t>4.</w:t>
      </w:r>
      <w:r>
        <w:tab/>
        <w:t>Budowanie potencjału partnerów społecznych działających w obszarze rynku pracy poprzez m.in. podnoszenie kwalifikacji/kompetencji przedstawicieli partnerów społecznych oraz wymianę doświadczeń w zakresie lokalnego/regionalnego rynku pracy.</w:t>
      </w:r>
      <w:r>
        <w:br/>
        <w:t>5.</w:t>
      </w:r>
      <w:r>
        <w:tab/>
        <w:t>Budowanie potencjału organizacji społeczeństwa obywatelskiego działających w obszarze rynku pracy poprzez m.in. podnoszenie kwalifikacji/kompetencji przedstawicieli organizacji społeczeństwa obywatelskiego oraz wymianę doświadczeń w zakresie lokalnego/regionalnego rynku pracy.</w:t>
      </w:r>
      <w:r>
        <w:br/>
        <w:t>Kluczowe warunki realizacji projektów:</w:t>
      </w:r>
      <w:r>
        <w:br/>
        <w:t>Każdorazowo do ogłoszonego naboru projektów ION określi szczegółowe zasady realizacji wsparcia w zakresie poszczególnych typów projektów</w:t>
      </w:r>
      <w:r>
        <w:br/>
        <w:t>1.</w:t>
      </w:r>
      <w:r>
        <w:tab/>
        <w:t>Projekty realizowane będą zgodnie z:</w:t>
      </w:r>
      <w:r>
        <w:br/>
        <w:t>-</w:t>
      </w:r>
      <w:r>
        <w:tab/>
        <w:t>Wytycznymi dotyczącymi kwalifikowalności wydatków na lata 2021-2027,</w:t>
      </w:r>
      <w:r>
        <w:br/>
        <w:t>-</w:t>
      </w:r>
      <w:r>
        <w:tab/>
        <w:t>Wytycznymi dotyczącymi realizacji projektów z udziałem środków Europejskiego Funduszu Społecznego Plus w regionalnych programach na lata 2021–2027,</w:t>
      </w:r>
      <w:r>
        <w:br/>
        <w:t>-</w:t>
      </w:r>
      <w:r>
        <w:tab/>
        <w:t>Wytycznymi dotyczącymi realizacji zasad równościowych w ramach funduszy unijnych na lata 2021-2027,</w:t>
      </w:r>
      <w:r>
        <w:br/>
        <w:t>-</w:t>
      </w:r>
      <w:r>
        <w:tab/>
        <w:t>Wytycznymi dotyczącymi monitorowania postępu rzeczowego realizacji programów na lata 2021-2027,</w:t>
      </w:r>
      <w:r>
        <w:br/>
        <w:t>-</w:t>
      </w:r>
      <w:r>
        <w:tab/>
        <w:t>Wytycznymi dotyczącymi wyboru projektów na lata 2021-2027.</w:t>
      </w:r>
      <w:r>
        <w:br/>
        <w:t>2.</w:t>
      </w:r>
      <w:r>
        <w:tab/>
        <w:t>Przedsięwzięcia odpowiadają na problemy Publicznych Służb Zatrudnienia i innych instytucji rynku pracy.</w:t>
      </w:r>
      <w:r>
        <w:br/>
        <w:t>3.</w:t>
      </w:r>
      <w:r>
        <w:tab/>
        <w:t>Typ 1,4,5 konkurencyjny.</w:t>
      </w:r>
      <w:r>
        <w:br/>
        <w:t>4.</w:t>
      </w:r>
      <w:r>
        <w:tab/>
        <w:t>Typ 2 i 3 niekonkurencyjny.</w:t>
      </w:r>
      <w:r>
        <w:br/>
        <w:t>5.</w:t>
      </w:r>
      <w:r>
        <w:tab/>
        <w:t>Zastosowane będą preferencje punktowe w naborach dla projektów, w których zawarto elementy współpracy ponadregionalnej, transgranicznej lub ponadnarodowej. W wybranych naborach konkurencyjnych premiowani będą beneficjenci wykazujący się doświadczeniem i/lub zaangażowaniem w prowadzone działania współpracy międzyregionalnej, transgranicznej i transnarodowej.</w:t>
      </w:r>
      <w:r>
        <w:br/>
        <w:t>6.</w:t>
      </w:r>
      <w:r>
        <w:tab/>
        <w:t>W ramach typu projektu 4 i 5, możliwa będzie interwencja skierowana na budowanie zdolności organizacji społeczeństwa obywatelskiego oraz budowanie zdolności partnerów społecznych, zgodnie z art. 9 ust 2 rozporządzenia EFS+.</w:t>
      </w:r>
      <w:r>
        <w:br/>
        <w:t>7.</w:t>
      </w:r>
      <w:r>
        <w:tab/>
        <w:t>Każdorazowo do ogłoszonego naboru projektów ION określi szczegółowe zasady realizacji wsparcia w zakresie poszczególnych typów projektów.</w:t>
      </w:r>
      <w:r>
        <w:br/>
        <w:t>8.</w:t>
      </w:r>
      <w:r>
        <w:tab/>
        <w:t xml:space="preserve">W ramach typów projektów 1 i 2 w projektach z zakresu aktywizacji społeczno-zawodowej, dana osoba nie otrzymuje jednocześnie wsparcia w więcej niż jednym projekcie z zakresu aktywizacji społeczno-zawodowej  dofinansowanym ze środków EFS+, w tożsamym rodzajowo zakresie. </w:t>
      </w:r>
      <w:r>
        <w:br/>
        <w:t>9.</w:t>
      </w:r>
      <w:r>
        <w:tab/>
        <w:t>W ramach typu projektu nr 3 publikacje będą dostępne w formie drukowanej oraz elektronicznej na stronach internetowych Wojewódzkiego Urzędu Pracy.</w:t>
      </w:r>
      <w:r>
        <w:br/>
        <w:t>10.</w:t>
      </w:r>
      <w:r>
        <w:tab/>
        <w:t>Wnioskodawcą w ramach typu 4 mogą być wyłącznie podmioty spełniające definicję partnera społecznego.</w:t>
      </w:r>
      <w:r>
        <w:br/>
        <w:t>11.</w:t>
      </w:r>
      <w:r>
        <w:tab/>
        <w:t>Wnioskodawcą w ramach typu 5 mogą być wyłącznie podmioty spełniające definicję organizacji społeczeństwa obywatelskiego.</w:t>
      </w:r>
    </w:p>
    <w:p w14:paraId="240F2C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C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C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C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C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C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C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C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C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C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C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C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C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C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C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C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40F2C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C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C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C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C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C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społeczne i związki wyznaniowe, Partnerzy społeczni, Służby publiczne</w:t>
      </w:r>
    </w:p>
    <w:p w14:paraId="240F2C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C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rynku pracy (w tym publiczne służby zatrudnienia), migranci powrotni, organizacje społeczeństwa obywatelskiego, osoby bezrobotne i poszukujące pracy, partnerzy społeczni, pracodawcy i osoby poszukujące pracy korzystające ze wparcia w ramach usług sieci EURES, pracownicy instytucji rynku pracy, studenci, uczniowie placówek ponadpodstawowych</w:t>
      </w:r>
    </w:p>
    <w:p w14:paraId="240F2C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C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dialog_społeczny, kompetencje_zawodowe, kwalifikacje, szkolenia</w:t>
      </w:r>
    </w:p>
    <w:p w14:paraId="240F2C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C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C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C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C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C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WLWK-PL0CO08 - Liczba organizacji partnerów społecznych objętych wsparciem</w:t>
      </w:r>
    </w:p>
    <w:p w14:paraId="240F2C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WLWK-PL0CO05 - Liczba organizacji społeczeństwa obywatelskiego wspartych w co najmniej jednym z następujących obszarów: standardy i procedury zarządzania, refleksyjność, wydolność finansowa, rzecznictwo, jakość usług, współpraca międzysektorowa</w:t>
      </w:r>
    </w:p>
    <w:p w14:paraId="240F2C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WLWK-PL0CO06 - Liczba organizacji społeczeństwa obywatelskiego wspartych w zakresie wdrażania nowych metod działania lub rodzajów usług</w:t>
      </w:r>
    </w:p>
    <w:p w14:paraId="240F2C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C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C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C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C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C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WLWK-PLBCO01 - Liczba pracowników instytucji rynku pracy objętych wsparciem w programie</w:t>
      </w:r>
    </w:p>
    <w:p w14:paraId="240F2C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C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WLWK-PL0CO09 - Liczba przedstawicieli organizacji partnerów społecznych objętych wsparciem</w:t>
      </w:r>
    </w:p>
    <w:p w14:paraId="240F2C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WLWK-PL0CO07 - Liczba przedstawicieli organizacji społeczeństwa obywatelskiego (w tym wolontariuszy) objętych wsparciem w programie</w:t>
      </w:r>
    </w:p>
    <w:p w14:paraId="240F2C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PROG-FELCO22 - Liczba przeprowadzonych badań/analiz dotyczących sytuacji na regionalnym rynku pracy, w ramach projektu</w:t>
      </w:r>
    </w:p>
    <w:p w14:paraId="240F2C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PROG-FELCO26 - Liczba zrealizowanych Międzynarodowych Targów Pracy związanych z mobilnością na europejskim rynku pracy</w:t>
      </w:r>
    </w:p>
    <w:p w14:paraId="240F2C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PROG-FELCO27 - Liczba zrealizowanych spotkań informacyjnych na temat mobilności na europejskim rynku pracy</w:t>
      </w:r>
    </w:p>
    <w:p w14:paraId="240F2C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C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WLWK-PL0CR04 - Liczba organizacji partnerów społecznych, które zwiększyły swój potencjał</w:t>
      </w:r>
    </w:p>
    <w:p w14:paraId="240F2C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WLWK-PL0CR02 - Liczba organizacji społeczeństwa obywatelskiego, które poprawiły lub wprowadziły nowe metody działania lub rodzaje usług</w:t>
      </w:r>
    </w:p>
    <w:p w14:paraId="240F2C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WLWK-PL0CR01 - Liczba organizacji społeczeństwa obywatelskiego, które zwiększyły swój potencjał organizacyjny w co najmniej jednym z następujących obszarów: standardy i procedury zarządzania, refleksyjność, wydolność finansowa, rzecznictwo, jakość usług, współpraca międzysektorowa</w:t>
      </w:r>
    </w:p>
    <w:p w14:paraId="240F2C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C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WLWK-PL0CR05 - Liczba przedstawicieli organizacji partnerów społecznych, którzy podnieśli kompetencje</w:t>
      </w:r>
    </w:p>
    <w:p w14:paraId="240F2C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WLWK-PL0CR03 - Liczba przedstawicieli organizacji społeczeństwa obywatelskiego, którzy zdobyli nowe umiejętności, wiedzę lub uzyskali kwalifikacje</w:t>
      </w:r>
    </w:p>
    <w:p w14:paraId="240F2C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PROG-FELCR15 - Liczba powstałych w ramach projektu publikacji dot. sytuacji na regionalnym rynku pracy.</w:t>
      </w:r>
    </w:p>
    <w:p w14:paraId="240F2C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C73"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5" w:name="_Toc241668239"/>
      <w:r>
        <w:rPr>
          <w:rFonts w:ascii="Calibri" w:hAnsi="Calibri" w:cs="Calibri"/>
          <w:sz w:val="32"/>
        </w:rPr>
        <w:t>Działanie FELU.09.04 Zrównoważony rynek pracy</w:t>
      </w:r>
      <w:bookmarkEnd w:id="75"/>
    </w:p>
    <w:p w14:paraId="240F2C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C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EFS+.CP4.C - Wspieranie zrównoważonego pod względem płci uczestnictwa w rynku pracy, równych warunków pracy oraz lepszej równowagi między życiem zawodowym a prywatnym, w tym poprzez dostęp do przystępnej cenowo opieki nad dziećmi i osobami wymagającymi wsparcia w codziennym funkcjonowaniu</w:t>
      </w:r>
    </w:p>
    <w:p w14:paraId="240F2C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C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2C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C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5 348 808,00</w:t>
      </w:r>
    </w:p>
    <w:p w14:paraId="240F2C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C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4 677 000,00</w:t>
      </w:r>
    </w:p>
    <w:p w14:paraId="240F2C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C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142 - Działania na rzecz promowania aktywności zawodowej kobiet oraz zmniejszenia segregacji na rynku pracy ze względu na płeć</w:t>
      </w:r>
    </w:p>
    <w:p w14:paraId="240F2C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C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Kompleksowa aktywizacja zawodowa osób pozostających bez pracy, ukierunkowana na wsparcie zrównoważonego udziału w rynku pracy, a zwłaszcza kobiet, poprzez wsparcie m.in. psychologiczne, doradcze, szkoleniowe, mechanizm referencji.</w:t>
      </w:r>
      <w:r>
        <w:br/>
        <w:t>2.</w:t>
      </w:r>
      <w:r>
        <w:tab/>
        <w:t>Wsparcie w zakresie sprawowania opieki nad dzieckiem lub członkiem rodziny potrzebującym wsparcia w codziennym funkcjonowaniu (wsparcie towarzyszące działaniom skierowanym na aktywizację zawodową).</w:t>
      </w:r>
      <w:r>
        <w:br/>
        <w:t>3.</w:t>
      </w:r>
      <w:r>
        <w:tab/>
        <w:t>Upowszechnianie elastycznych form zatrudnienia i pracy w obniżonym wymiarze czasu oraz inne działania zapewniające większą równowagę między życiem zawodowym, a prywatnym, poprzez działania świadomościowe wśród pracodawców i pracowników.</w:t>
      </w:r>
      <w:r>
        <w:br/>
        <w:t>4.</w:t>
      </w:r>
      <w:r>
        <w:tab/>
        <w:t>Wzmacnianie kompetencji kadry zarządzającej w zakresie stosowania elastycznych form zatrudnienia i czasu w obniżonym wymiarze i dostosowania środowiska pracy do potrzeb pracowników.</w:t>
      </w:r>
      <w:r>
        <w:br/>
        <w:t>5.</w:t>
      </w:r>
      <w:r>
        <w:tab/>
        <w:t>Wsparcie kosztów readaptacji osób powracających do pracy po długotrwałej nieobecności u danego pracodawcy.</w:t>
      </w:r>
      <w:r>
        <w:br/>
        <w:t>Kluczowe warunki realizacji projektów:</w:t>
      </w:r>
      <w:r>
        <w:br/>
        <w:t>Każdorazowo do ogłoszonego naboru projektów ION określi szczegółowe zasady realizacji wsparcia w zakresie poszczególnych typów projektów</w:t>
      </w:r>
      <w:r>
        <w:br/>
        <w:t>1.</w:t>
      </w:r>
      <w:r>
        <w:tab/>
        <w:t>Projekty realizowane będą zgodnie z:</w:t>
      </w:r>
      <w:r>
        <w:br/>
        <w:t>a)</w:t>
      </w:r>
      <w:r>
        <w:tab/>
        <w:t>Wytycznymi dotyczącymi kwalifikowalności wydatków na lata 2021-2027,</w:t>
      </w:r>
      <w:r>
        <w:br/>
        <w:t>b)</w:t>
      </w:r>
      <w:r>
        <w:tab/>
        <w:t>Wytycznymi dotyczącymi realizacji projektów z udziałem środków Europejskiego Funduszu Społecznego Plus w regionalnych programach na lata 2021–2027,</w:t>
      </w:r>
      <w:r>
        <w:br/>
        <w:t>c)</w:t>
      </w:r>
      <w:r>
        <w:tab/>
        <w:t>Wytycznymi dotyczącymi realizacji zasad równościowych w ramach funduszy unijnych na lata 2021-2027,</w:t>
      </w:r>
      <w:r>
        <w:br/>
        <w:t>d)</w:t>
      </w:r>
      <w:r>
        <w:tab/>
        <w:t>Wytycznymi dotyczącymi monitorowania postępu rzeczowego realizacji programów na lata 2021-2027,</w:t>
      </w:r>
      <w:r>
        <w:br/>
        <w:t>e)</w:t>
      </w:r>
      <w:r>
        <w:tab/>
        <w:t>Wytycznymi dotyczącymi wyboru projektów na lata 2021-2027.</w:t>
      </w:r>
      <w:r>
        <w:br/>
        <w:t>2.</w:t>
      </w:r>
      <w:r>
        <w:tab/>
        <w:t>W ramach wszystkich typów projektów wspierane będą działania w zakresie zwiększania dostępu do zatrudnienia grup defaworyzowanych, poszukujących pracy, znajdujących się w trudnej sytuacji na rynku pracy z powodu trudności godzenia życia zawodowego z obowiązkami rodzinnymi/ opiekuńczymi (w tym przede wszystkim macierzyństwem), a także stereotypowym postrzeganiem ról społecznych.</w:t>
      </w:r>
      <w:r>
        <w:br/>
        <w:t>3.</w:t>
      </w:r>
      <w:r>
        <w:tab/>
        <w:t>W ramach typów projektu 1, 3, 4 i 5 efektem szkolenia będzie nabycie kwalifikacji (konkretnych efektów uczenia się uzyskiwanych w toku szkolenia) potwierdzonych odpowiednim dokumentem (np. certyfikatem), który powinien zawierać informacje na temat uzyskanych przez uczestnika efektów uczenia się w rozumieniu wytycznych ministra właściwego do spraw rozwoju regionalnego dotyczących monitorowania postępu rzeczowego realizacji programów na lata 2021–2027 i LWK 2021 dla EFS+.</w:t>
      </w:r>
      <w:r>
        <w:br/>
        <w:t>4.</w:t>
      </w:r>
      <w:r>
        <w:tab/>
        <w:t>W ramach typu projektu 1 staże w projekcie są realizowane zgodnie z zaleceniem Rady z dnia 10 marca 2014 r. w sprawie ram jakości staży (Dz. Urz. UE C 88 z 27.03.2014, str. 1) oraz z Polskimi Ramami Jakości Praktyk i Staży</w:t>
      </w:r>
      <w:r>
        <w:br/>
        <w:t>5.</w:t>
      </w:r>
      <w:r>
        <w:tab/>
        <w:t>Zadania typu 2 w zakresie sprawowania opieki nad dzieckiem lub członkiem rodzin mogą być realizowane wyłącznie instytucjonalnie.</w:t>
      </w:r>
      <w:r>
        <w:br/>
        <w:t>6. W ramach typu projektu 2 opieka nad dzieckiem do lat 3 nie obejmuje miejsc opieki dofinansowywanych ze środków FERS, KPO lub z innych środków publicznych oraz z w pierwszej kolejności obejmuje instytucjonalne formy opieki. Jedynie w przypadku braku możliwości skorzystania ze standardowych usług oferowanych w instytucjonalnych formach opieki beneficjent powinien zapewnić najskuteczniejszą (pod względem dobra dzieci i kosztów) opiekę nad dziećmi do lat 3 w postaci:</w:t>
      </w:r>
      <w:r>
        <w:br/>
        <w:t>- zorganizowanej opieki okazjonalnej nad grupą dzieci w wydzielonym pomieszczeniu na terenie placówki, w której odbywa się szkolenie lub inna forma wsparcia oferowana w projekcie,</w:t>
      </w:r>
      <w:r>
        <w:br/>
        <w:t>- wynajęcia klubu dziecięcego (np. w godzinach popołudniowych/w weekendy, jeżeli w tych godzinach/dniach są realizowane formy wsparcia w projekcie),</w:t>
      </w:r>
      <w:r>
        <w:br/>
        <w:t>- zatrudnienia dziennego opiekuna w celu zapewnienia okazjonalnej opieki nad grupą dzieci na podstawie umowy zawartej na określony czas, uzależniony od czasu trwania form wsparcia.</w:t>
      </w:r>
      <w:r>
        <w:br/>
        <w:t>Indywidualną okazjonalną opiekę niani należy zaproponować jedynie w przypadku braku możliwości skorzystania z powyższych rozwiązań.</w:t>
      </w:r>
      <w:r>
        <w:tab/>
      </w:r>
      <w:r>
        <w:br/>
        <w:t>7. W ramach wszystkich typów projektów 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8.</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9.</w:t>
      </w:r>
      <w:r>
        <w:tab/>
        <w:t>Typy działań 2-5 nie mogą stanowić samodzielnego projektu.</w:t>
      </w:r>
      <w:r>
        <w:br/>
        <w:t>10.</w:t>
      </w:r>
      <w:r>
        <w:tab/>
        <w:t>W przypadku łączonych typów projektów, typy 2-5 powinny stanowić odrębne zadania w planowanym budżecie projektu.</w:t>
      </w:r>
      <w:r>
        <w:br/>
        <w:t>11.</w:t>
      </w:r>
      <w:r>
        <w:tab/>
        <w:t xml:space="preserve">W ramach wszystkich typów projektów, w projektach z zakresu aktywizacji społeczno-zawodowej, dana osoba nie otrzymuje jednocześnie wsparcia w więcej niż jednym projekcie z zakresu aktywizacji społeczno-zawodowej  dofinansowanym ze środków EFS+, w tożsamym rodzajowo zakresie. </w:t>
      </w:r>
      <w:r>
        <w:br/>
        <w:t>12.</w:t>
      </w:r>
      <w:r>
        <w:tab/>
        <w:t>Zastosowane będą preferencje punktowe w naborach dla projektów, w których zawarto elementy współpracy ponadregionalnej, transgranicznej lub ponadnarodowej. W wybranych naborach konkurencyjnych premiowani będą beneficjenci wykazujący się doświadczeniem i/lub zaangażowaniem w prowadzone działania współpracy międzyregionalnej, transgranicznej i transnarodowej.</w:t>
      </w:r>
      <w:r>
        <w:br/>
        <w:t>13. Przewidywane wsparcie z Budżetu Państwa w ramach środków określonych w Kontrakcie Programowym dla Województwa Lubelskiego i zgodnie z zał. 33.</w:t>
      </w:r>
    </w:p>
    <w:p w14:paraId="240F2C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C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C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C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C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C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C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C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C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C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C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C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C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C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C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C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(typ projektu nr 2), 1% (typy projektów nr 1, 3, 4, 5)</w:t>
      </w:r>
    </w:p>
    <w:p w14:paraId="240F2C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C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C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C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C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C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Osoby fizyczne, Partnerzy społeczni, Służby publiczne</w:t>
      </w:r>
    </w:p>
    <w:p w14:paraId="240F2C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C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powracające na rynek pracy, osoby, w szczególności kobiety bierne zawodowo, osoby, w szczególności kobiety pozostające bez zatrudnienia, pracodawcy, pracownicy</w:t>
      </w:r>
    </w:p>
    <w:p w14:paraId="240F2C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C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doradztwo_zawodowe, integracja_społeczna, kompetencje_społeczne, kompetencje_zawodowe, kwalifikacje, staże, szkolenie_zawodowe</w:t>
      </w:r>
    </w:p>
    <w:p w14:paraId="240F2C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C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C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C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C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C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C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240F2C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40F2C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240F2C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C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C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WLWK-PLCCO02 - Liczba osób objętych wsparciem w zakresie godzenia życia zawodowego z prywatnym</w:t>
      </w:r>
    </w:p>
    <w:p w14:paraId="240F2C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WLWK-PLCCO01 - Liczba osób objętych wsparciem w zakresie równości kobiet i mężczyzn</w:t>
      </w:r>
    </w:p>
    <w:p w14:paraId="240F2C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240F2C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C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240F2C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C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C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C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C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240F2C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WLWK-PLCCR01 - Liczba osób, które podniosły poziom wiedzy w zakresie równości kobiet i mężczyzn dzięki wsparciu w programie</w:t>
      </w:r>
    </w:p>
    <w:p w14:paraId="240F2C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C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240F2C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240F2C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WLWK-PLCCR02 - Liczba osób znajdujących się w lepszej sytuacji na rynku pracy po opuszczeniu programu</w:t>
      </w:r>
    </w:p>
    <w:p w14:paraId="240F2C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CB5"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6" w:name="_Toc241668240"/>
      <w:r>
        <w:rPr>
          <w:rFonts w:ascii="Calibri" w:hAnsi="Calibri" w:cs="Calibri"/>
          <w:sz w:val="32"/>
        </w:rPr>
        <w:t>Działanie FELU.09.05 Ochrona środowiska pracy</w:t>
      </w:r>
      <w:bookmarkEnd w:id="76"/>
    </w:p>
    <w:p w14:paraId="240F2C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C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240F2C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C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18 729 406,00</w:t>
      </w:r>
    </w:p>
    <w:p w14:paraId="240F2C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C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17 145 000,00</w:t>
      </w:r>
    </w:p>
    <w:p w14:paraId="240F2C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C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140 - Wsparcie na rzecz dostosowania umiejętności i kwalifikacji zawodowych do potrzeb rynku pracy oraz na rzecz przepływów na rynku pracy, 144 - Działania na rzecz zdrowego i dostosowanego środowiska pracy uwzględniające zagrożenia dla zdrowia i obejmujące m.in. promocję aktywności fizycznej, 146 - Wsparcie na rzecz przystosowywania pracowników, przedsiębiorstw i przedsiębiorców do zmian</w:t>
      </w:r>
    </w:p>
    <w:p w14:paraId="240F2C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C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Opracowanie i realizacja programów</w:t>
      </w:r>
      <w:r>
        <w:br/>
        <w:t>a.</w:t>
      </w:r>
      <w:r>
        <w:tab/>
        <w:t>profilaktycznych dotyczących chorób związanych ze środowiskiem pracy,</w:t>
      </w:r>
      <w:r>
        <w:br/>
        <w:t>b.</w:t>
      </w:r>
      <w:r>
        <w:tab/>
        <w:t>rehabilitacyjnych dotyczących chorób związanych ze środowiskiem pracy.</w:t>
      </w:r>
      <w:r>
        <w:br/>
        <w:t>2.</w:t>
      </w:r>
      <w:r>
        <w:tab/>
        <w:t>Programy kompleksowej rehabilitacji ułatwiające powrót do pracy.</w:t>
      </w:r>
      <w:r>
        <w:br/>
        <w:t>3.</w:t>
      </w:r>
      <w:r>
        <w:tab/>
        <w:t>Eliminowanie zdrowotnych czynników ryzyka w miejscu pracy w tym programy przekwalifikowania pracowników pracujących w warunkach negatywnie wpływających na zdrowie, działania zapewniające zdrowe i dobrze przystosowane środowisko pracy, niwelujące zagrożenia dla zdrowia wynikające ze środowiska pracy, profilaktyka chorób wynikających ze środowiska pracy.</w:t>
      </w:r>
      <w:r>
        <w:br/>
        <w:t>Kluczowe warunki realizacji projektów:</w:t>
      </w:r>
      <w:r>
        <w:br/>
        <w:t>Każdorazowo do ogłoszonego naboru projektów Instytucja Organizująca Nabór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t>
      </w:r>
      <w:r>
        <w:tab/>
        <w:t>Interwencja EFS+ w obszarze zdrowia będzie zgodna z dokumentami strategicznymi „Zdrowa Przyszłość. Ramy strategiczne dla systemu ochrony zdrowia na lata 2021-2027, z perspektywą do 2030 r.”, mapami potrzeb zdrowotnych i z planami transformacji w obszarze zdrowia (krajowy i regionalny) oraz Programem Strategicznym Ochrony Zdrowia Województwa Lubelskiego na lata 2021-2027” (typ 1-3).</w:t>
      </w:r>
      <w:r>
        <w:br/>
        <w:t>4.</w:t>
      </w:r>
      <w:r>
        <w:tab/>
        <w:t>Interwencje w obszarze ochrony zdrowia podlegają koordynacji w ramach Komitetu Sterującego. Założenia lub kluczowe warunki realizacji zaplanowanej interwencji, w tym wysokość środków na realizację przedsięwzięcia, są przekazywane pod obrady Komitetu Sterującego, zgodnie z trybem określonym w regulaminie tego Komitetu (typ 1-3).</w:t>
      </w:r>
      <w:r>
        <w:br/>
        <w:t>5.</w:t>
      </w:r>
      <w:r>
        <w:tab/>
        <w:t>Realizowane będą wyłącznie te przedsięwzięcia, dla których założenia lub kluczowe warunki realizacji zostały pozytywnie rozpatrzone przez Komitet Sterujący, zgodnie z procedurami przyjętymi w ramach funkcjonowania tego Komitetu. Przedsięwzięcia uwzględniają obligatoryjne rekomendacje Komitetu Sterującego (typ 1-3).</w:t>
      </w:r>
      <w:r>
        <w:br/>
        <w:t>6.</w:t>
      </w:r>
      <w:r>
        <w:tab/>
        <w:t>Działania ukierunkowane na eliminowanie czynników ryzyka dla zdrowia występujących w miejscu pracy dostosowane są do potrzeb konkretnego pracodawcy i jego pracowników w szczególności realizowane są na podstawie ustawy z dnia 27 czerwca 1997 r. o służbie medycyny pracy i nie podlegają wymogom określonym dla RPZ w wytycznych. Mogą one w szczególności obejmować działania służące przekwalifikowaniu osób narażonych na czynniki ryzyka dla zdrowia w miejscu pracy, czyli nabycie kompetencji, umiejętności lub kwalifikacji, umożliwiających kontynuowanie pracy na zmodernizowanym stanowisku lub rozpoczęcie pracy na innym stanowisku, które nie stanowi obciążenia dla zdrowia danego pracownika. Działania ukierunkowane na eliminowanie zdrowotnych czynników ryzyka w miejscu pracy dostosowane do potrzeb konkretnego pracodawcy i jego pracowników będą realizowane poza formułą RPZ (typ 3).</w:t>
      </w:r>
      <w:r>
        <w:br/>
        <w:t>7.</w:t>
      </w:r>
      <w:r>
        <w:tab/>
        <w:t>Działania z zakresu rehabilitacji leczniczej ułatwiającej powrót do pracy lub utrzymanie zatrudnienia skierowane są do osób pracujących narażonych na opuszczenie rynku pracy z powodu czynników zdrowotnych lub do osób zarejestrowanych jako bezrobotne w powiatowych urzędach pracy, potrzebujących świadczeń rehabilitacyjnych w celu podjęcia lub powrotu do zatrudnienia realizowane są jako element szerszej ścieżki umożliwiającej danej osobie utrzymanie lub powrót do zatrudnienia. Działanie będzie realizowane poza formułą RPZ (typ 2).</w:t>
      </w:r>
      <w:r>
        <w:br/>
        <w:t>8.</w:t>
      </w:r>
      <w:r>
        <w:tab/>
        <w:t>Osoby bezrobotne obejmowane wsparciem w formule RPZ z zakresu rehabilitacji leczniczej ułatwiającej powrót do pracy lub utrzymanie zatrudnienia, zostaną co najmniej poinformowane o możliwości uzyskania wsparcia w projektach z zakresu aktywizacji zawodowej realizowanych w ramach RP, chyba że uzyskują już wsparcie właściwej instytucji rynku pracy w zakresie realizacji programów rehabilitacyjnych związanych ze środowiskiem pracy (typ 1b).</w:t>
      </w:r>
      <w:r>
        <w:br/>
        <w:t>9.</w:t>
      </w:r>
      <w:r>
        <w:tab/>
        <w:t>Świadczenia rehabilitacyjne oraz inne świadczenia zdrowotne, związane z realizacją profilaktycznych programów prozdrowotnych wynikających z oceny stanu zdrowia pracujących realizowane są zgodnie z przepisami wydanymi na podstawie ustawy z dnia 27 sierpnia 2004 r. o świadczeniach opieki zdrowotnej finansowanych ze środków publicznych, w szczególności rozporządzenia Ministra Zdrowia z dnia 6 listopada 2013 r. w sprawie świadczeń gwarantowanych z zakresu rehabilitacji leczniczej (typ 1-3).</w:t>
      </w:r>
      <w:r>
        <w:br/>
        <w:t>10.</w:t>
      </w:r>
      <w:r>
        <w:tab/>
        <w:t>RPZ, przed rozpoczęciem realizacji, obligatoryjnie musi uzyskać pozytywną lub warunkową opinię AOTMiT i być zgodny z zakresem określonym w rozporządzeniu Ministra Zdrowia z dnia 22 grudnia 2017 r. w sprawie wzoru programu polityki zdrowotnej, wzoru raportu końcowego z realizacji programu polityki zdrowotnej oraz sposobu sporządzenia projektu programu polityki zdrowotnej i raportu końcowego z realizacji programu polityki zdrowotnej (typ 1).</w:t>
      </w:r>
      <w:r>
        <w:br/>
        <w:t>11.</w:t>
      </w:r>
      <w:r>
        <w:tab/>
        <w:t>Do realizacji może zostać zakwalifikowany jedynie ten RPZ, który uzyskał pozytywną opinię AOTMiT lub spełnił wszystkie obligatoryjne warunki wskazane w warunkowej opinii AOTMiT oraz został pozytywnie rozpatrzony przez Komitet Sterujący. W przypadku uzyskania przez RPZ negatywnej opinii AOTMiT, RPZ może być poprawiony z wykorzystaniem uwag zgłoszonych przez AOTMiT oraz ponownie złożony do zaopiniowania przez AOTMiT (typ 1).</w:t>
      </w:r>
      <w:r>
        <w:br/>
        <w:t>12. Do realizacji może zostać też zakwalifikowany RPZ bez konieczności pozyskiwania opinii AOTMiT, który został przygotowany w oparciu o rekomendacje wynikające z repozytorium, o którym mowa w art. 48aa ust. 9 ustawy z dnia 27 sierpnia 2004 r. o świadczeniach opieki zdrowotnej finansowanych ze środków publicznych. W takim przypadku, RPZ wymaga jedynie uzgodnienia na forum Komitetu Sterującego (typ 1).</w:t>
      </w:r>
      <w:r>
        <w:br/>
        <w:t>13. Przewidywane wsparcie z Budżetu Państwa w ramach środków określonych w Kontrakcie Programowym dla Województwa Lubelskiego i zgodnie z zał. 33.</w:t>
      </w:r>
    </w:p>
    <w:p w14:paraId="240F2C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C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C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C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C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C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C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C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C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C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C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C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C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C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C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C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(typ 1-3), w przypadku państwowych jednostek budżetowych: 5%</w:t>
      </w:r>
    </w:p>
    <w:p w14:paraId="240F2C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C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C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C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C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C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C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C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C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C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Organizacje społeczne i związki wyznaniowe, Przedsiębiorstwa, Służby publiczne</w:t>
      </w:r>
    </w:p>
    <w:p w14:paraId="240F2C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C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bezrobotne biorące udział w projektach z zakresu rehabilitacji ułatwiającej powrót do pracy, osoby bezrobotne zarejestrowane w powiatowych urzędach pracy oraz osoby pracujące w zakresie programów kompleksowej rehabilitacji, osoby fizyczne prowadzące działalność gospodarczą, osoby pracujące, pracodawcy, pracownicy kwalifikujący się do programów profilaktycznych chorób związanych z miejscem pracy, pracownicy podmiotów leczniczych</w:t>
      </w:r>
    </w:p>
    <w:p w14:paraId="240F2C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C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zdrowa_praca, zdrowie</w:t>
      </w:r>
    </w:p>
    <w:p w14:paraId="240F2C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C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C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C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C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C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C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C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C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C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C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WLWK-PLDCO08 - Liczba osób objętych wsparciem w obszarze zdrowia</w:t>
      </w:r>
    </w:p>
    <w:p w14:paraId="240F2C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C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C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C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WLWK-PLDCO07 - Liczba pracodawców objętych wsparciem dotyczącym  poprawy środowiska pracy</w:t>
      </w:r>
    </w:p>
    <w:p w14:paraId="240F2C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C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WLWK-PLDKCO01 - Liczba wdrożonych programów polityki zdrowotnej</w:t>
      </w:r>
    </w:p>
    <w:p w14:paraId="240F2C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PROG-FELCO20 - Liczba opracowanych programów profilaktycznych dotyczących chorób związanych ze środowiskiem pracy</w:t>
      </w:r>
    </w:p>
    <w:p w14:paraId="240F2C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PROG-FELCO21 - Liczba opracowanych programów rehabilitacyjnych dotyczących chorób związanych ze środowiskiem pracy</w:t>
      </w:r>
    </w:p>
    <w:p w14:paraId="240F2C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C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WLWK-PLDCR03 - Liczba osób, które dzięki wsparciu w obszarze zdrowia podjęły pracę lub kontynuowały zatrudnienie</w:t>
      </w:r>
    </w:p>
    <w:p w14:paraId="240F2C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C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WLWK-PLDCR02 - Liczba osób, które w wyniku realizacji wsparcia z zakresu  outplacementu/poprawy środowiska pracy podjęły pracę lub kontynuowały zatrudnienie</w:t>
      </w:r>
    </w:p>
    <w:p w14:paraId="240F2C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PROG-FELCR13 - Liczba pozytywnych/warunkowych opinii Agencji Oceny Technologii Medycznych i Taryfikacji wydanych w stosunku do opracowanych w ramach projektu programów profilaktycznych dotyczących chorób związanych ze środowiskiem pracy</w:t>
      </w:r>
    </w:p>
    <w:p w14:paraId="240F2C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PROG-FELCR14 - Liczba pozytywnych/warunkowych opinii Agencji Oceny Technologii Medycznych i Taryfikacji wydanych w stosunku do opracowanych w ramach projektu programów rehabilitacyjnych dotyczących chorób związanych ze środowiskiem pracy</w:t>
      </w:r>
    </w:p>
    <w:p w14:paraId="240F2C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CF8"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7" w:name="_Toc241668241"/>
      <w:r>
        <w:rPr>
          <w:rFonts w:ascii="Calibri" w:hAnsi="Calibri" w:cs="Calibri"/>
          <w:sz w:val="32"/>
        </w:rPr>
        <w:t>Działanie FELU.09.06 Adaptacyjność pracodawców  i pracowników do zmian</w:t>
      </w:r>
      <w:bookmarkEnd w:id="77"/>
    </w:p>
    <w:p w14:paraId="240F2C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C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240F2C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C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19 694 737,00</w:t>
      </w:r>
    </w:p>
    <w:p w14:paraId="240F2C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C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18 710 000,00</w:t>
      </w:r>
    </w:p>
    <w:p w14:paraId="240F2C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D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140 - Wsparcie na rzecz dostosowania umiejętności i kwalifikacji zawodowych do potrzeb rynku pracy oraz na rzecz przepływów na rynku pracy, 144 - Działania na rzecz zdrowego i dostosowanego środowiska pracy uwzględniające zagrożenia dla zdrowia i obejmujące m.in. promocję aktywności fizycznej, 146 - Wsparcie na rzecz przystosowywania pracowników, przedsiębiorstw i przedsiębiorców do zmian</w:t>
      </w:r>
    </w:p>
    <w:p w14:paraId="240F2D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D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Kompleksowe działania służące wydłużeniu zdolności do pracy osób starszych, uwzględniające zarządzanie wiekiem, w przedsiębiorstwach poprzez upowszechnianie mentoringu w miejscu pracy, rozwijanie kompetencji osób starszych, promowanie zdrowego i aktywnego starzenia się.</w:t>
      </w:r>
      <w:r>
        <w:br/>
        <w:t>2.</w:t>
      </w:r>
      <w:r>
        <w:tab/>
        <w:t>Wsparcie pracodawców we wprowadzaniu elastycznych form zatrudnienia, w tym we wprowadzaniu pracy zdalnej.</w:t>
      </w:r>
      <w:r>
        <w:br/>
        <w:t>3.</w:t>
      </w:r>
      <w:r>
        <w:tab/>
        <w:t>Zastosowanie instrumentów służących ochronie pracowników, zagrożonych utratą zatrudnienia w wyniku zaistniałej sytuacji kryzysowej, m.in.:</w:t>
      </w:r>
      <w:r>
        <w:br/>
        <w:t>a)</w:t>
      </w:r>
      <w:r>
        <w:tab/>
        <w:t>poradnictwo psychologiczne,</w:t>
      </w:r>
      <w:r>
        <w:br/>
        <w:t>b)</w:t>
      </w:r>
      <w:r>
        <w:tab/>
        <w:t>doradztwo zawodowe,</w:t>
      </w:r>
      <w:r>
        <w:br/>
        <w:t>c)</w:t>
      </w:r>
      <w:r>
        <w:tab/>
        <w:t>dodatki motywacyjne dla osób realizujących mentoring w miejscu zatrudnienia,</w:t>
      </w:r>
      <w:r>
        <w:br/>
        <w:t>d)</w:t>
      </w:r>
      <w:r>
        <w:tab/>
        <w:t>środki finansowe na kontynuację zatrudnienia,</w:t>
      </w:r>
      <w:r>
        <w:br/>
        <w:t>e)</w:t>
      </w:r>
      <w:r>
        <w:tab/>
        <w:t>dostosowanie stanowisk pracy do potrzeb pracowników i pracodawców,</w:t>
      </w:r>
      <w:r>
        <w:br/>
        <w:t>f)</w:t>
      </w:r>
      <w:r>
        <w:tab/>
        <w:t>formy wsparcia dostosowane do indywidualnych potrzeb uczestników projektu (np. profilaktyka chorób wynikających ze środowiska pracy),</w:t>
      </w:r>
      <w:r>
        <w:br/>
        <w:t>g)</w:t>
      </w:r>
      <w:r>
        <w:tab/>
        <w:t>refundacja kosztów opieki nad dzieckiem lub członkiem rodziny potrzebującym wsparcia w codziennym funkcjonowaniu.</w:t>
      </w:r>
      <w:r>
        <w:br/>
        <w:t>4.</w:t>
      </w:r>
      <w:r>
        <w:tab/>
        <w:t>Usługi rozwojowe w Podmiotowym Systemie Finansowania dla pracodawców i ich pracowników, zgodne z ich zidentyfikowanymi potrzebami (system popytowy w oparciu o BUR).</w:t>
      </w:r>
      <w:r>
        <w:br/>
        <w:t>Kluczowe warunki realizacji projektów:</w:t>
      </w:r>
      <w:r>
        <w:br/>
        <w:t>Każdorazowo do ogłoszonego naboru projektów Instytucja Organizująca Nabór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t>
      </w:r>
      <w:r>
        <w:tab/>
        <w:t>Wsparcie pracodawców w obszarze zarządzania wiekiem i kompetencjami pracowników, jak również dostosowania miejsc pracy do potrzeb osób starszych obejmuje działania mające na celu upowszechnianie mentoringu w miejscu pracy, rozwijanie kompetencji osób starszych, promowanie zdrowego i aktywnego starzenia się ( typ 1).</w:t>
      </w:r>
      <w:r>
        <w:br/>
        <w:t>4.</w:t>
      </w:r>
      <w:r>
        <w:tab/>
        <w:t>Wsparcie pracodawców we wprowadzaniu elastycznych form zatrudnienia, w tym we wprowadzaniu pracy zdalnej obejmuje zadania mające na celu upowszechnienie zastosowania elastycznych form zatrudnienia, wsparcie dla pracy w niepełnym wymiarze czasu pracy, jak również pracy na odległość oraz działania zapewniające większą równowagę między życiem zawodowym, a prywatnym z uwagi na sprawowaną opiekę nad dzieckiem lub członkiem rodziny potrzebującym wsparcia w codziennym funkcjonowaniu. (typ 2).</w:t>
      </w:r>
      <w:r>
        <w:br/>
        <w:t>BUR (typ 4)</w:t>
      </w:r>
      <w:r>
        <w:br/>
        <w:t>1.</w:t>
      </w:r>
      <w:r>
        <w:tab/>
        <w:t>Beneficjent realizujący projekt PSF nie stosuje warunków wyboru pracodawców lub przedsiębiorców do objęcia wsparciem w ramach projektu, innych niż warunki ustalone przez IZ PR na etapie wyboru projektu do dofinansowania.</w:t>
      </w:r>
      <w:r>
        <w:br/>
        <w:t>2.</w:t>
      </w:r>
      <w:r>
        <w:tab/>
        <w:t>Zostaną wskazane obszary preferencji usług rozwojowych w zakresie poziomu dofinansowania ze środków EFS m.in. w szczególności dot. usług rozwojowych, które prowadzą do nabycia kwalifikacji, o których mowa w art. 2 pkt 8 ustawy z dnia 22 grudnia 2015 r. o Zintegrowanym Systemie Kwalifikacji, zarejestrowanych w Zintegrowanym Rejestrze Kwalifikacji oraz posiadających nadany kod kwalifikacji.</w:t>
      </w:r>
      <w:r>
        <w:br/>
        <w:t>3.</w:t>
      </w:r>
      <w:r>
        <w:tab/>
        <w:t xml:space="preserve"> Beneficjent, na podstawie umowy o dofinansowanie, prowadzi kontrolę u pracodawców lub przedsiębiorców objętych wsparciem z uwzględnieniem wymogów określonych w wytycznych ministra właściwego do spraw rozwoju regionalnego dotyczących kontroli realizacji programów polityki spójności na lata 2021–2027.</w:t>
      </w:r>
      <w:r>
        <w:br/>
        <w:t>4.</w:t>
      </w:r>
      <w:r>
        <w:tab/>
        <w:t>Kontrole prowadzone przez Beneficjentów w odniesieniu do uczestników projektu są przeprowadzane:</w:t>
      </w:r>
      <w:r>
        <w:br/>
        <w:t>a)</w:t>
      </w:r>
      <w:r>
        <w:tab/>
        <w:t>na dokumentach, w tym w siedzibie pracodawcy lub przedsiębiorcy;</w:t>
      </w:r>
      <w:r>
        <w:br/>
        <w:t>b)</w:t>
      </w:r>
      <w:r>
        <w:tab/>
        <w:t>w miejscu realizacji usługi rozwojowej (wizyta monitoringowa).</w:t>
      </w:r>
      <w:r>
        <w:br/>
        <w:t>5.</w:t>
      </w:r>
      <w:r>
        <w:tab/>
        <w:t>Szczegółowe zasady udzielania usług rozwojowych zostaną określone w Regulaminie wyboru projektów, w tym:</w:t>
      </w:r>
      <w:r>
        <w:br/>
        <w:t>-</w:t>
      </w:r>
      <w:r>
        <w:tab/>
        <w:t>maksymalną kwotę dofinansowania pojedynczej usługi rozwojowej w przeliczeniu na jedną godzinę usługi dla jednego pracodawcy, przedsiębiorcy lub pracownika wydelegowanego przez pracodawcę,</w:t>
      </w:r>
      <w:r>
        <w:br/>
        <w:t>-</w:t>
      </w:r>
      <w:r>
        <w:tab/>
        <w:t>kwalifikowanie kosztów usługi rozwojowej,</w:t>
      </w:r>
      <w:r>
        <w:br/>
        <w:t>-</w:t>
      </w:r>
      <w:r>
        <w:tab/>
        <w:t>obowiązki podmiotu pełniącego funkcje operatora w projekcie PSF.</w:t>
      </w:r>
    </w:p>
    <w:p w14:paraId="240F2D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D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D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D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D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D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D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D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D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D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D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D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D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D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D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D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40F2D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D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D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D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D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D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D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D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D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D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Organizacje społeczne i związki wyznaniowe, Przedsiębiorstwa, Służby publiczne</w:t>
      </w:r>
    </w:p>
    <w:p w14:paraId="240F2D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D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fizyczne prowadzące działalność gospodarczą, osoby zatrudnione na umowach krótkoterminowych, umowach cywilno – prawnych, ubodzy pracujący, pracodawcy, pracownicy</w:t>
      </w:r>
    </w:p>
    <w:p w14:paraId="240F2D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D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dopasowanie_do_rynku_pracy, opieka_nad_dziećmi, osoby_z_niepełnosprawnościami, rownosc_szans, rozwój_zawodowy, rynek, szkolenia, usługi, zatrudnienie_wspomagane, zdrowa_praca</w:t>
      </w:r>
    </w:p>
    <w:p w14:paraId="240F2D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D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D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D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D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D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WLWK-PLDCO02 - Liczba dużych przedsiębiorstw objętych usługami rozwojowymi</w:t>
      </w:r>
    </w:p>
    <w:p w14:paraId="240F2D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WLWK-PLDCO01 - Liczba mikro-, małych i średnich przedsiębiorstw (w tym spółdzielni i przedsiębiorstw społecznych) objętych usługami rozwojowymi</w:t>
      </w:r>
    </w:p>
    <w:p w14:paraId="240F2D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D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D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D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D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D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240F2D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D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D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D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WLWK-PLDCO03 - Liczba podmiotów innych niż przedsiębiorstwa objętych usługami rozwojowymi</w:t>
      </w:r>
    </w:p>
    <w:p w14:paraId="240F2D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WLWK-PLDCO07 - Liczba pracodawców objętych wsparciem dotyczącym  poprawy środowiska pracy</w:t>
      </w:r>
    </w:p>
    <w:p w14:paraId="240F2D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WLWK-PLDCO05 - Liczba pracowników dużych przedsiębiorstw objętych usługą rozwojową</w:t>
      </w:r>
    </w:p>
    <w:p w14:paraId="240F2D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WLWK-PLDCO04 - Liczba pracowników mikro-, małych i średnich przedsiębiorstw (w tym spółdzielni i przedsiębiorstw społecznych) objętych usługą rozwojową</w:t>
      </w:r>
    </w:p>
    <w:p w14:paraId="240F2D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D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D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D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WLWK-PLDGCR04 - Liczba osób, które uzyskały zielone kwalifikacje po opuszczeniu programu</w:t>
      </w:r>
    </w:p>
    <w:p w14:paraId="240F2D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WLWK-PLDCR02 - Liczba osób, które w wyniku realizacji wsparcia z zakresu  outplacementu/poprawy środowiska pracy podjęły pracę lub kontynuowały zatrudnienie</w:t>
      </w:r>
    </w:p>
    <w:p w14:paraId="240F2D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D3B"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8" w:name="_Toc241668242"/>
      <w:r>
        <w:rPr>
          <w:rFonts w:ascii="Calibri" w:hAnsi="Calibri" w:cs="Calibri"/>
          <w:sz w:val="32"/>
        </w:rPr>
        <w:t>Działanie FELU.09.07 Outplacement</w:t>
      </w:r>
      <w:bookmarkEnd w:id="78"/>
    </w:p>
    <w:p w14:paraId="240F2D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D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240F2D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D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2D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D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8 951 243,00</w:t>
      </w:r>
    </w:p>
    <w:p w14:paraId="240F2D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D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7 809 000,00</w:t>
      </w:r>
    </w:p>
    <w:p w14:paraId="240F2D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D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140 - Wsparcie na rzecz dostosowania umiejętności i kwalifikacji zawodowych do potrzeb rynku pracy oraz na rzecz przepływów na rynku pracy, 146 - Wsparcie na rzecz przystosowywania pracowników, przedsiębiorstw i przedsiębiorców do zmian</w:t>
      </w:r>
    </w:p>
    <w:p w14:paraId="240F2D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D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Outplacement dla pracowników zagrożonych zwolnieniem, przewidzianych do zwolnienia, zwolnionych z przyczyn niedotyczących pracownika lub osób odchodzących z rolnictwa.</w:t>
      </w:r>
      <w:r>
        <w:br/>
        <w:t>Kluczowe warunki realizacji projektów:</w:t>
      </w:r>
      <w:r>
        <w:br/>
        <w:t>Każdorazowo do ogłoszonego naboru projektów ION określi szczegółowe zasady realizacji wsparcia w zakresie poszczególnych typów projektów</w:t>
      </w:r>
      <w:r>
        <w:br/>
        <w:t>1.</w:t>
      </w:r>
      <w:r>
        <w:tab/>
        <w:t>Projekty realizowane będą zgodnie z:</w:t>
      </w:r>
      <w:r>
        <w:br/>
        <w:t>-</w:t>
      </w:r>
      <w:r>
        <w:tab/>
        <w:t>Wytycznymi dotyczącymi kwalifikowalności wydatków na lata 2021-2027,</w:t>
      </w:r>
      <w:r>
        <w:br/>
        <w:t>-</w:t>
      </w:r>
      <w:r>
        <w:tab/>
        <w:t>Wytycznymi dotyczącymi realizacji projektów z udziałem środków Europejskiego Funduszu Społecznego Plus w regionalnych programach na lata 2021–2027,</w:t>
      </w:r>
      <w:r>
        <w:br/>
        <w:t>-</w:t>
      </w:r>
      <w:r>
        <w:tab/>
        <w:t>Wytycznymi dotyczącymi realizacji zasad równościowych w ramach funduszy unijnych na lata 2021-2027,</w:t>
      </w:r>
      <w:r>
        <w:br/>
        <w:t>-</w:t>
      </w:r>
      <w:r>
        <w:tab/>
        <w:t>Wytycznymi dotyczącymi monitorowania postępu rzeczowego realizacji programów na lata 2021-2027,</w:t>
      </w:r>
      <w:r>
        <w:br/>
        <w:t>-</w:t>
      </w:r>
      <w:r>
        <w:tab/>
        <w:t>Wytycznymi dotyczącymi wyboru projektów na lata 2021-2027.</w:t>
      </w:r>
      <w:r>
        <w:br/>
        <w:t>2.</w:t>
      </w:r>
      <w:r>
        <w:tab/>
        <w:t>Outplacement stanowi zaplanowane, kompleksowe działania, których celem jest reorganizacja zatrudnienia ograniczająca proces zwolnień lub przeprowadzenie procesu zwolnień uwzględniające udzielenie pomocy zwalnianym lub zwolnionym pracownikom w odnalezieniu się w nowej sytuacji życiowej i zawodowej, w tym przede wszystkim prowadzące do utrzymania lub podjęcia i utrzymania zatrudnienia, a także wsparcia osób odchodzących z rolnictwa.</w:t>
      </w:r>
      <w:r>
        <w:br/>
        <w:t>3.</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4.</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5.</w:t>
      </w:r>
      <w:r>
        <w:tab/>
        <w:t xml:space="preserve">W projektach z zakresu aktywizacji społeczno-zawodowej, dana osoba nie otrzymuje jednocześnie wsparcia w więcej niż jednym projekcie z zakresu aktywizacji społeczno-zawodowej  dofinansowanym ze środków EFS+, w tożsamym rodzajowo zakresie. </w:t>
      </w:r>
      <w:r>
        <w:br/>
        <w:t>6.</w:t>
      </w:r>
      <w:r>
        <w:tab/>
        <w:t>Zastosowane będą preferencje punktowe w naborach dla projektów, w których zawarto elementy współpracy ponadregionalnej, transgranicznej lub ponadnarodowej. W wybranych naborach konkurencyjnych premiowani będą beneficjenci wykazujący się doświadczeniem i/lub zaangażowaniem w prowadzone działania współpracy międzyregionalnej, transgranicznej i transnarodowej.</w:t>
      </w:r>
      <w:r>
        <w:br/>
        <w:t>7.    Przewidywane wsparcie z Budżetu Państwa w ramach środków określonych w Kontrakcie Programowym dla Województwa Lubelskiego i zgodnie z zał. 33.</w:t>
      </w:r>
    </w:p>
    <w:p w14:paraId="240F2D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D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D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D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D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D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D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D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D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D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D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D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D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D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D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D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w:t>
      </w:r>
    </w:p>
    <w:p w14:paraId="240F2D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D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D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D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D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D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Osoby fizyczne, Partnerzy społeczni, Służby publiczne</w:t>
      </w:r>
    </w:p>
    <w:p w14:paraId="240F2D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D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pracownicy zagrożeni zwolnieniem, pracownicy przewidziani do zwolnienia lub osoby zwolnione z przyczyn niedotyczących pracownika oraz osoby odchodzące z rolnictwa</w:t>
      </w:r>
    </w:p>
    <w:p w14:paraId="240F2D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D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adaptacyjność, aktywizacja_społeczna, aktywizacja_zawodowa, doradztwo_zawodowe, kompetencje_zawodowe, kwalifikacje, szkolenie_zawodowe</w:t>
      </w:r>
    </w:p>
    <w:p w14:paraId="240F2D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D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D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D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D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D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D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D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D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WLWK-PLDCO06 - Liczba osób objętych wsparciem z zakresu outplacementu</w:t>
      </w:r>
    </w:p>
    <w:p w14:paraId="240F2D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D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D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D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D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D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WLWK-PLDCR02 - Liczba osób, które w wyniku realizacji wsparcia z zakresu  outplacementu/poprawy środowiska pracy podjęły pracę lub kontynuowały zatrudnienie</w:t>
      </w:r>
    </w:p>
    <w:p w14:paraId="240F2D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D72"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9" w:name="_Toc241668243"/>
      <w:r>
        <w:rPr>
          <w:rFonts w:ascii="Calibri" w:hAnsi="Calibri" w:cs="Calibri"/>
          <w:sz w:val="32"/>
        </w:rPr>
        <w:t>Działanie FELU.09.08 Aktywizacja zawodowa - projekty OHP</w:t>
      </w:r>
      <w:bookmarkEnd w:id="79"/>
    </w:p>
    <w:p w14:paraId="240F2D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D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240F2D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2D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2D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D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10 089 888,00</w:t>
      </w:r>
    </w:p>
    <w:p w14:paraId="240F2D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D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9 585 394,00</w:t>
      </w:r>
    </w:p>
    <w:p w14:paraId="240F2D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D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136 - Wsparcie szczególne na rzecz zatrudnienia ludzi młodych i integracji społeczno-gospodarczej ludzi młodych</w:t>
      </w:r>
    </w:p>
    <w:p w14:paraId="240F2D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D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Kompleksowa aktywizacja zawodowa realizowana w projektach OHP na rzecz osób młodych znajdujących się w szczególnej sytuacji.</w:t>
      </w:r>
      <w:r>
        <w:br/>
        <w:t>Kluczowe warunki realizacji projektów:</w:t>
      </w:r>
      <w:r>
        <w:br/>
        <w:t>Każdorazowo do ogłoszonego naboru projektów ION określi szczegółowe zasady realizacji wsparcia w zakresie poszczególnych typów projektów</w:t>
      </w:r>
      <w:r>
        <w:br/>
        <w:t>1.</w:t>
      </w:r>
      <w:r>
        <w:tab/>
        <w:t>Projekty realizowane będą zgodnie z:</w:t>
      </w:r>
      <w:r>
        <w:br/>
        <w:t>a)</w:t>
      </w:r>
      <w:r>
        <w:tab/>
        <w:t>Wytycznymi dotyczącymi kwalifikowalności wydatków na lata 2021-2027,</w:t>
      </w:r>
      <w:r>
        <w:br/>
        <w:t>b)</w:t>
      </w:r>
      <w:r>
        <w:tab/>
        <w:t>Wytycznymi dotyczącymi realizacji projektów z udziałem środków Europejskiego Funduszu Społecznego Plus w regionalnych programach na lata 2021–2027,</w:t>
      </w:r>
      <w:r>
        <w:br/>
        <w:t>c)</w:t>
      </w:r>
      <w:r>
        <w:tab/>
        <w:t>Wytycznymi dotyczącymi realizacji zasad równościowych w ramach funduszy unijnych na lata 2021-2027,</w:t>
      </w:r>
      <w:r>
        <w:br/>
        <w:t>d)</w:t>
      </w:r>
      <w:r>
        <w:tab/>
        <w:t>Wytycznymi dotyczącymi monitorowania postępu rzeczowego realizacji programów na lata 2021-2027,</w:t>
      </w:r>
      <w:r>
        <w:br/>
        <w:t>e)</w:t>
      </w:r>
      <w:r>
        <w:tab/>
        <w:t>Wytycznymi dotyczącymi wyboru projektów na lata 2021-2027,</w:t>
      </w:r>
      <w:r>
        <w:br/>
        <w:t>f)</w:t>
      </w:r>
      <w:r>
        <w:tab/>
        <w:t>Ustawą z dnia 20 marca 2025 r. o rynku pracy i służbach zatrudnienia.</w:t>
      </w:r>
      <w:r>
        <w:br/>
        <w:t>Udzielenie wsparcia musi zostać poprzedzone pogłębioną analizą umiejętności, predyspozycji i problemów zawodowych danego uczestnika projektu, m. in. poprzez opracowanie/aktualizację Indywidualnego Planu Działania, o którym mowa w art. 88 ww. ustawy o rynku pracy i służbach zatrudnienia.</w:t>
      </w:r>
      <w:r>
        <w:br/>
        <w:t>2.</w:t>
      </w:r>
      <w:r>
        <w:tab/>
        <w:t>Działania skierowane do osób w wieku 15–29 lat są zgodne z zaleceniem Rady z dnia 30 października 2020 r. w sprawie pomostu do zatrudnienia – wzmocnienia gwarancji dla młodzieży oraz zastępującym zalecenie Rady z dnia 22 kwietnia 2013 r. w sprawie ustanowienia gwarancji dla młodzieży (Dz. Urz. UE C 372 z 04.11.2020, str. 1) i z polskim Planem Gwarancji dla młodzieży.</w:t>
      </w:r>
      <w:r>
        <w:br/>
        <w:t>3.</w:t>
      </w:r>
      <w:r>
        <w:tab/>
        <w:t>W przypadku projektów skierowanych do osób w wieku 15–29 lat odpowiednia jakość wsparcia jest zapewniona poprzez zdefiniowanie priorytetów tematycznych dla wsparcia (na podstawie diagnoz regionalnych rynków pracy), przy czym nacisk powinien zostać położony na:</w:t>
      </w:r>
      <w:r>
        <w:br/>
        <w:t>-</w:t>
      </w:r>
      <w:r>
        <w:tab/>
        <w:t>umiejętności cyfrowe;</w:t>
      </w:r>
      <w:r>
        <w:br/>
        <w:t>-</w:t>
      </w:r>
      <w:r>
        <w:tab/>
        <w:t>umiejętności niezbędne do podjęcia pracy w sektorze zielonej gospodarki;</w:t>
      </w:r>
      <w:r>
        <w:br/>
        <w:t>-</w:t>
      </w:r>
      <w:r>
        <w:tab/>
        <w:t>umiejętności niezbędne z punktu widzenia regionalnych/lokalnych specjalizacji;</w:t>
      </w:r>
      <w:r>
        <w:br/>
        <w:t>-</w:t>
      </w:r>
      <w:r>
        <w:tab/>
        <w:t>umiejętności niezbędne w zawodach związanych z usługami zdrowotnymi i opiekuńczymi.</w:t>
      </w:r>
      <w:r>
        <w:br/>
        <w:t>4. Każda osoba młoda w wieku 15-29 lat rozpoczynająca udział w projekcie EFS+ przed sporządzeniem IPD przechodzi ocenę umiejętności cyfrowych.</w:t>
      </w:r>
      <w:r>
        <w:br/>
        <w:t xml:space="preserve">5. W projektach z zakresu aktywizacji społeczno-zawodowej, dana osoba nie otrzymuje jednocześnie wsparcia w więcej niż jednym projekcie z zakresu aktywizacji społeczno-zawodowej  dofinansowanym ze środków EFS+, w tożsamym rodzajowo zakresie. </w:t>
      </w:r>
      <w:r>
        <w:br/>
      </w:r>
    </w:p>
    <w:p w14:paraId="240F2D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D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D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D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D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D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D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D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D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D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w:t>
      </w:r>
    </w:p>
    <w:p w14:paraId="240F2D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D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D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D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D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D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D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D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D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D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Służby publiczne</w:t>
      </w:r>
    </w:p>
    <w:p w14:paraId="240F2D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D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bezrobotni, osoby bierne zawodowo, osoby kwalifikujące się do wsparcia Ochotniczych Hufców Pracy, osoby należące do kategorii NEET, osoby z niepełnosprawnościami lub o ograniczonej mobilności</w:t>
      </w:r>
    </w:p>
    <w:p w14:paraId="240F2D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D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doradztwo_zawodowe, integracja_społeczna, kompetencje_społeczne, kompetencje_zawodowe, kwalifikacje, staże, szkolenie_zawodowe</w:t>
      </w:r>
    </w:p>
    <w:p w14:paraId="240F2D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D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D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D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D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240F2D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40F2D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240F2D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D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D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D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240F2D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D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D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D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240F2D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PROG-FELCO04 - Liczba osób, którym udzielono ochrony czasowej w związku z wojną w Ukrainie, objętych wsparciem w programie</w:t>
      </w:r>
    </w:p>
    <w:p w14:paraId="240F2D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D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240F2D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D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240F2D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240F2D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2DAD"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80" w:name="_Toc241668244"/>
      <w:r>
        <w:rPr>
          <w:rFonts w:ascii="Calibri" w:hAnsi="Calibri" w:cs="Calibri"/>
          <w:i w:val="0"/>
          <w:sz w:val="32"/>
        </w:rPr>
        <w:t>Priorytet FELU.10 Lepsza edukacja</w:t>
      </w:r>
      <w:bookmarkEnd w:id="80"/>
    </w:p>
    <w:p w14:paraId="240F2D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2D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2D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2D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240F2D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2D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240F2D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2D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2D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2D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184 011 705,00</w:t>
      </w:r>
    </w:p>
    <w:p w14:paraId="240F2D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2D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164 930 716,00</w:t>
      </w:r>
    </w:p>
    <w:p w14:paraId="240F2D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2D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D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DBD"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1" w:name="_Toc241668245"/>
      <w:r>
        <w:rPr>
          <w:rFonts w:ascii="Calibri" w:hAnsi="Calibri" w:cs="Calibri"/>
          <w:sz w:val="32"/>
        </w:rPr>
        <w:t>Działanie FELU.10.01 Skuteczna edukacja</w:t>
      </w:r>
      <w:bookmarkEnd w:id="81"/>
    </w:p>
    <w:p w14:paraId="240F2D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D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EFS+.CP4.E - Poprawa jakości, poziomu włączenia społecznego i skuteczności systemów kształcenia i szkolenia oraz ich powiązania z rynkiem pracy – w tym przez walidację uczenia się pozaformalnego i nieformalnego, w celu wspierania nabywania kompetencji kluczowych, w tym umiejętności w zakresie przedsiębiorczości i kompetencji cyfrowych, oraz przez wspieranie wprowadzania dualnych systemów szkolenia i przygotowania zawodowego</w:t>
      </w:r>
    </w:p>
    <w:p w14:paraId="240F2D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D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18 123 341,00</w:t>
      </w:r>
    </w:p>
    <w:p w14:paraId="240F2D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D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16 541 299,00</w:t>
      </w:r>
    </w:p>
    <w:p w14:paraId="240F2D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D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149 - Wsparcie na rzecz szkolnictwa podstawowego i średniego (z wyłączeniem infrastruktury), 151 - Wsparcie na rzecz kształcenia dorosłych (z wyłączeniem infrastruktury)</w:t>
      </w:r>
    </w:p>
    <w:p w14:paraId="240F2D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D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Programy systemowego wsparcia doradztwa zawodowego lub edukacyjno-zawodowego, w tym m.in. podnoszenie kompetencji doradców zawodowych i edukacyjnych oraz ich dostępność dla uczniów, wsparcie budowania i rozwoju sieci współpracy doradców zawodowych.</w:t>
      </w:r>
      <w:r>
        <w:br/>
        <w:t>2.</w:t>
      </w:r>
      <w:r>
        <w:tab/>
        <w:t>Program systemowego wsparcia efektywności nauczania języka angielskiego w regionie: dodatkowe zajęcia z języka angielskiego dla uczniów szkół osiągających wyniki egzaminów z języka angielskiego, niższe niż średnia wojewódzka.</w:t>
      </w:r>
      <w:r>
        <w:br/>
        <w:t>3.</w:t>
      </w:r>
      <w:r>
        <w:tab/>
        <w:t>Promocja i upowszechnienie informacji w zakresie kształcenia w regionie, w tym kształcenia zawodowego, m.in. poprzez targi edukacyjne, spotkania zawodoznawcze / wizyty studyjne w liceach, technikach, szkołach prowadzących kształcenie zawodowe, na uczelniach i u pracodawców.</w:t>
      </w:r>
      <w:r>
        <w:br/>
        <w:t>4.</w:t>
      </w:r>
      <w:r>
        <w:tab/>
        <w:t>Działania na rzecz upowszechnienia idei uczenia się przez całe życie.</w:t>
      </w:r>
      <w:r>
        <w:br/>
        <w:t>Kluczowe warunki realizacji projektów:</w:t>
      </w:r>
      <w:r>
        <w:br/>
        <w:t>Każdorazowo do ogłoszonego naboru projektów Instytucja Organizująca Nabór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t>
      </w:r>
      <w:r>
        <w:tab/>
        <w:t>Wdrożenie systemowych rozwiązań, w tym podnoszenie kompetencji doradców zawodowych i edukacyjnych do pracy z dziećmi, których rodzice są migrantami lub z uczniami, którzy powracają z zagranicy oraz zwiększanie ich dostępności dla tych uczniów (typ 1).</w:t>
      </w:r>
      <w:r>
        <w:br/>
        <w:t>4.</w:t>
      </w:r>
      <w:r>
        <w:tab/>
        <w:t>Doradztwo edukacyjno-zawodowe będzie uwzględniać aspekt płci przy wyborze zawodu, zwalczać stereotypy związane z płcią i wspierać promowanie przedmiotów STEAM (typ 1).</w:t>
      </w:r>
      <w:r>
        <w:br/>
        <w:t>5.</w:t>
      </w:r>
      <w:r>
        <w:tab/>
        <w:t>Doradztwo zawodowe i edukacyjno-zawodowe wpłynie na ukierunkowanie szkół prowadzących kształcenie ogólne i zawodowe, a także kształcenie ustawiczne do reagowania na potrzeby rynku pracy (typ 1).</w:t>
      </w:r>
      <w:r>
        <w:br/>
        <w:t>6.</w:t>
      </w:r>
      <w:r>
        <w:tab/>
        <w:t>Podejmowane działania będą komplementarne do przedsięwzięć w zakresie doradztwa zawodowego podejmowanych na poziomie krajowym (typ 1).</w:t>
      </w:r>
      <w:r>
        <w:br/>
        <w:t>7.</w:t>
      </w:r>
      <w:r>
        <w:tab/>
        <w:t>Działania doradcze wpłyną na zmotywowanie uczniów do nabywania umiejętności oraz świadomego wyboru zawodu bądź dalszej ścieżki kształcenia, a osoby dorosłe do uczenia się przez całe życie (typ 1).</w:t>
      </w:r>
      <w:r>
        <w:br/>
        <w:t>8.</w:t>
      </w:r>
      <w:r>
        <w:tab/>
        <w:t>Wymagane są projekty kompleksowe, realizowane we współpracy z pracodawcami oraz uczelniami (typ 1,3).</w:t>
      </w:r>
      <w:r>
        <w:br/>
        <w:t>9.</w:t>
      </w:r>
      <w:r>
        <w:tab/>
        <w:t>W przypadku tworzenia materiałów (w tym e-materiałów), aplikacji lub narzędzi informatycznych w ramach projektu nie będą one powielały już istniejących i planowanych do stworzenia na poziomie krajowym materiałów, aplikacji i narzędzi. Dodatkowo wypracowane w ramach projektu e-materiały będą spełniały standardy techniczne Zintegrowanej Platformy Edukacyjnej (aktualne na dzień ogłoszenia naboru), tak aby była możliwość ich publikacji na Zintegrowanej Platformie Edukacyjnej (typ 1-4).</w:t>
      </w:r>
      <w:r>
        <w:br/>
        <w:t>10.</w:t>
      </w:r>
      <w:r>
        <w:tab/>
        <w:t>W celu uniknięcia stygmatyzacji wsparcie w zakresie dodatkowych zajęć z języka angielskiego dla uczniów kierowane będzie do szkół bądź oddziałów, a nie do pojedynczych uczniów (typ 2).</w:t>
      </w:r>
      <w:r>
        <w:br/>
        <w:t>11.</w:t>
      </w:r>
      <w:r>
        <w:tab/>
        <w:t>Promocja kształcenia w regionie, w tym kształcenia zawodowego ukierunkowana jest na wsparcie uczniów w wyborze dalszej ścieżki kształcenia lub zawodu (typ 3).</w:t>
      </w:r>
      <w:r>
        <w:br/>
        <w:t>12.</w:t>
      </w:r>
      <w:r>
        <w:tab/>
        <w:t>Działania mają zapewnić dostarczenie społeczeństwu wiedzy o tym, jak współczesne szkolnictwo zawodowe funkcjonuje i jakie korzyści przynosi ukończenie szkoły prowadzącej kształcenie zawodowe (typ 3).</w:t>
      </w:r>
      <w:r>
        <w:br/>
        <w:t>13.</w:t>
      </w:r>
      <w:r>
        <w:tab/>
        <w:t>Działania upowszechniające będą skierowane do mieszkańców regionu w celu zmiany stereotypów w postrzeganiu szkół prowadzących kształcenie zawodowe, w tym do uczniów oraz ich rodziców (typ 3).</w:t>
      </w:r>
      <w:r>
        <w:br/>
        <w:t>14.</w:t>
      </w:r>
      <w:r>
        <w:tab/>
        <w:t>Promocja kształcenia zawodowego, w tym ustawicznego przyczyni się do ukierunkowania szkół prowadzących kształcenie ogólne i zawodowe, a także kształcenie ustawiczne do reagowania na potrzeby rynku pracy (typ 3).</w:t>
      </w:r>
      <w:r>
        <w:br/>
        <w:t>15.</w:t>
      </w:r>
      <w:r>
        <w:tab/>
        <w:t>Interwencja zgodnie z Zaleceniami Rady z dnia 19 grudnia 2016 r. w sprawie ścieżek poprawy umiejętności: nowe możliwości dla dorosłych (2016/c848/01) ma na celu wdrożenie środków dotyczących motywowania, informowania i poszerzania wiedzy na temat korzyści wynikających z poprawy umiejętności (typ 4).</w:t>
      </w:r>
      <w:r>
        <w:br/>
        <w:t>16.</w:t>
      </w:r>
      <w:r>
        <w:tab/>
        <w:t>Celem interwencji EFS+ jest poprawa jakości, poziomu włączenia społecznego i skuteczności systemów kształcenia i szkolenia oraz ich powiązania z rynkiem pracy (typ 1-4).</w:t>
      </w:r>
      <w:r>
        <w:br/>
        <w:t>17.   Projekty realizowane w ramach regionalnego programu nie powielają działań realizowanych na poziomie krajowym (zarówno ze środków EFS+, jak i źródeł krajowych) (typ 1,2,3,4).</w:t>
      </w:r>
      <w:r>
        <w:br/>
        <w:t>18.   Wsparcie dla danej szkoły lub placówki, jej kadry lub uczniów jest realizowane w oparciu o indywidualnie zdiagnozowane potrzeby szkoły lub placówki, przede wszystkim w kontekście wyrównywania szans edukacyjnych uczniów (typ 1, 2).</w:t>
      </w:r>
      <w:r>
        <w:br/>
        <w:t xml:space="preserve">19.   Wartość wydatków w ramach cross – financing stanowi nie więcej niż: </w:t>
      </w:r>
      <w:r>
        <w:br/>
        <w:t>- typ 1, 3 – 15% finansowania UE,</w:t>
      </w:r>
      <w:r>
        <w:br/>
        <w:t>- typ 2, 4 – 0% finansowania UE.</w:t>
      </w:r>
      <w:r>
        <w:br/>
        <w:t>20.   Przewidywane wsparcie z Budżetu Państwa w ramach środków określonych w Kontrakcie Programowym dla Województwa Lubelskiego i zgodnie z zał. 33.</w:t>
      </w:r>
      <w:r>
        <w:br/>
        <w:t xml:space="preserve">21. W przypadku wspierania kompetencji cyfrowych wykorzystany zostanie standard kompetencji cyfrowych na podstawie aktualnej na dzień ogłoszenia naboru wersji ramy „DigComp” (typ 1). </w:t>
      </w:r>
    </w:p>
    <w:p w14:paraId="240F2D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D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D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D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D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D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2D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D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2D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D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D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D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D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D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D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D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(typ 1 i 2), 5% (typ 3 i 4), w przypadku państwowych jednostek budżetowych: 5%</w:t>
      </w:r>
    </w:p>
    <w:p w14:paraId="240F2D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D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D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D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D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D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D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D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D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D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Służby publiczne</w:t>
      </w:r>
    </w:p>
    <w:p w14:paraId="240F2D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D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województwa, podmioty prowadzące kształcenie ustawiczne w formach pozaszkolnych, ich kadra oraz uczniowie, rodzice lub opiekunowie, szkoły i placówki systemu oświaty realizujące kształcenie ogólne, zawodowe i ustawiczne i ich organa prowadzące, uczestnicy procesu edukacji, w tym dzieci przedszkolne, uczniowie szkół i placówek podstawowych i ponadpodstawowych, dorośli biorący udział w edukacji, nauczyciele, instruktorzy praktycznej nauki zawodu, pracodawcy</w:t>
      </w:r>
    </w:p>
    <w:p w14:paraId="240F2D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D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doradztwo_zawodowe, edukacja, kompetencje, kształcenie_dorosłych, kształcenie_ustawiczne, kształcenie_zawodowe, kwalifikacje, liceum, promocja_kształcenia_zawodowego</w:t>
      </w:r>
    </w:p>
    <w:p w14:paraId="240F2D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D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D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D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D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D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D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D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D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D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D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D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WLWK-PLECO01 - Liczba podmiotów objętych wsparciem w celu zwiększenia jakości i efektywności systemu kształcenia i szkolenia</w:t>
      </w:r>
    </w:p>
    <w:p w14:paraId="240F2D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D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D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WLWK-PLECR01 - Liczba podmiotów, które podniosły jakość i efektywności oferowanych usług edukacyjnych (sztuki)</w:t>
      </w:r>
    </w:p>
    <w:p w14:paraId="240F2D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DF6"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2" w:name="_Toc241668246"/>
      <w:r>
        <w:rPr>
          <w:rFonts w:ascii="Calibri" w:hAnsi="Calibri" w:cs="Calibri"/>
          <w:sz w:val="32"/>
        </w:rPr>
        <w:t>Działanie FELU.10.02 Edukacja przedszkolna</w:t>
      </w:r>
      <w:bookmarkEnd w:id="82"/>
    </w:p>
    <w:p w14:paraId="240F2D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D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240F2D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D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22 230 014,00</w:t>
      </w:r>
    </w:p>
    <w:p w14:paraId="240F2D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D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19 951 590,00</w:t>
      </w:r>
    </w:p>
    <w:p w14:paraId="240F2D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D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148 - Wsparcie na rzecz wczesnej edukacji i opieki nad dzieckiem (z wyłączeniem infrastruktury)</w:t>
      </w:r>
    </w:p>
    <w:p w14:paraId="240F2D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E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Tworzenie nowych miejsc wychowania przedszkolnego i związanej z tym bazy lokalowej i dydaktycznej.</w:t>
      </w:r>
      <w:r>
        <w:br/>
        <w:t>2.</w:t>
      </w:r>
      <w:r>
        <w:tab/>
        <w:t>Unowocześnianie istniejącej bazy lokalowej i dydaktycznej w zakresie edukacji włączającej przedszkolnej.</w:t>
      </w:r>
      <w:r>
        <w:br/>
        <w:t>3.</w:t>
      </w:r>
      <w:r>
        <w:tab/>
        <w:t>Programy rozwojowe OWP, uwzględniające m.in.:</w:t>
      </w:r>
      <w:r>
        <w:br/>
        <w:t>•</w:t>
      </w:r>
      <w:r>
        <w:tab/>
        <w:t>poprawę dostępności OWP,</w:t>
      </w:r>
      <w:r>
        <w:br/>
        <w:t>•</w:t>
      </w:r>
      <w:r>
        <w:tab/>
        <w:t>dodatkowe zajęcia dydaktyczno-wychowawcze oraz specjalistyczne,</w:t>
      </w:r>
      <w:r>
        <w:br/>
        <w:t>•</w:t>
      </w:r>
      <w:r>
        <w:tab/>
        <w:t>pomoc psychologiczno-pedagogiczną dla dzieci, rodziców/opiekunów i nauczycieli, w tym w zakresie stymulowania rozwoju dziecka, rozwijania kompetencji wychowawczych i opiekuńczych, działania na rzecz usprawniania relacji i współpracy kadry z rodzicami/opiekunami,</w:t>
      </w:r>
      <w:r>
        <w:br/>
        <w:t>•</w:t>
      </w:r>
      <w:r>
        <w:tab/>
        <w:t xml:space="preserve">doskonalenie zawodowe kadry OWP (w tym nauczycieli i kadr zarządzających), w szczególności w zakresie pracy z dziećmi ze specjalnymi potrzebami edukacyjnymi, w tym z dziećmi zdolnymi i z dziećmi z niepełnosprawnościami, podnoszenie jakości systemu zarządzania OWP. </w:t>
      </w:r>
      <w:r>
        <w:br/>
        <w:t>Kluczowe warunki realizacji projektów:</w:t>
      </w:r>
      <w:r>
        <w:br/>
        <w:t>Każdorazowo do ogłoszonego naboru projektów Instytucja Organizująca Nabór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t>
      </w:r>
      <w:r>
        <w:tab/>
        <w:t xml:space="preserve"> Zakłada się możliwość zatrudnienia osób z Ukrainy, które znają w wystarczającym stopniu j. polski jako pracujące w OWP, celem zwiększenia komunikacji pomiędzy nauczycielem a uczniem (typ 3).</w:t>
      </w:r>
      <w:r>
        <w:br/>
        <w:t>4.</w:t>
      </w:r>
      <w:r>
        <w:tab/>
        <w:t>Działania w zakresie tworzenia nowych miejsc przedszkolnych będą realizowane tam, gdzie występują rzeczywiste deficyty i potrzeby, tj. realizacja wsparcia każdorazowo zostanie poprzedzona diagnozą (typ 1).</w:t>
      </w:r>
      <w:r>
        <w:br/>
        <w:t>5.</w:t>
      </w:r>
      <w:r>
        <w:tab/>
        <w:t>Realizowane będą przedsięwzięcia rozwijające jakość edukacji przedszkolnej (przede wszystkim w odniesieniu do metodyki pracy z dziećmi, rozwoju kompetencji kluczowych, realizacji dodatkowych zajęć, kompetencji kadry w zakresie diagnozy i identyfikacji potencjalnych problemów rozwojowych na wczesnym etapie, pedagogiki małego dziecka) oraz poprawiające dostępność dla wszystkich dzieci z uwzględnieniem zróżnicowania ich potrzeb edukacyjnych i rozwojowych (typ 1-3).</w:t>
      </w:r>
      <w:r>
        <w:br/>
        <w:t>6.</w:t>
      </w:r>
      <w:r>
        <w:tab/>
        <w:t>Zachowana zostanie trwałość utworzonych w ramach projektu miejsc wychowania przedszkolnego, przez okres co najmniej równy okresowi realizacji projektu. Trwałość powinna być rozumiana jako instytucjonalna gotowość placówki do świadczenia usług przedszkolnych w ramach utworzonych w projekcie miejsc wychowania przedszkolnego finansowanych ze środków innych niż europejskie. Liczba zadeklarowanych w arkuszu organizacyjnym placówki (lub innym równoważnym dokumencie w przypadku placówek niepublicznych) miejsc wychowania przedszkolnego uwzględnia dokładną liczbę miejsc utworzonych w projekcie (typ 1).</w:t>
      </w:r>
      <w:r>
        <w:br/>
        <w:t>7.</w:t>
      </w:r>
      <w:r>
        <w:tab/>
        <w:t>W przypadku tworzenia materiałów (w tym e-materiałów), aplikacji lub narzędzi informatycznych, nie będą one powielały już istniejących i planowanych do stworzenia na poziomie krajowym materiałów, aplikacji i narzędzi. Wypracowane w ramach regionalnych programów e-materiały spełniają standardy techniczne  ZPE (aktualne na dzień ogłoszenia naboru), tak aby była możliwość ich publikacji na ZPE (typ 3).</w:t>
      </w:r>
      <w:r>
        <w:br/>
        <w:t>8.</w:t>
      </w:r>
      <w:r>
        <w:tab/>
        <w:t>W przypadku wspierania kompetencji cyfrowych wykorzystany zostanie standard kompetencji cyfrowych na podstawie aktualnej na dzień ogłoszenia naboru wersji ramy „DigComp” (typ 3).</w:t>
      </w:r>
      <w:r>
        <w:br/>
        <w:t>9.</w:t>
      </w:r>
      <w:r>
        <w:tab/>
        <w:t>Działania dot. wsparcia ogólnodostępnych szkół lub placówek systemu oświaty w prowadzeniu skutecznej edukacji włączającej będą:</w:t>
      </w:r>
      <w:r>
        <w:br/>
        <w:t>a) dotyczyć przede wszystkim grup, które najbardziej potrzebują wsparcia, tj. koncentrują się na dzieciach z niepełnosprawnościami lub niedostosowanych społecznie, lub zagrożonych niedostosowaniem społecznym (potwierdzone odpowiednim orzeczeniem) i zapewnieniu im pełnego dostępu do edukacji ogólnodostępnej, z właściwym wsparciem w ogólnodostępnej szkole lub placówce w zakresie specjalnych potrzeb psychofizycznych (typ 1-3),</w:t>
      </w:r>
      <w:r>
        <w:br/>
        <w:t>b) stosować zasady projektowania uniwersalnego w nauczaniu (ULD – universal learning design) (typ 1-3),</w:t>
      </w:r>
      <w:r>
        <w:br/>
        <w:t>10.</w:t>
      </w:r>
      <w:r>
        <w:tab/>
        <w:t>Program rozwojowy (typ 3):</w:t>
      </w:r>
      <w:r>
        <w:br/>
        <w:t>a)</w:t>
      </w:r>
      <w:r>
        <w:tab/>
        <w:t>stanowi kompleksową odpowiedź na zdiagnozowane, indywidualne potrzeby danego ośrodka wychowania przedszkolnego, dzieci, ich rodziców i nauczycieli,</w:t>
      </w:r>
      <w:r>
        <w:br/>
        <w:t>b)</w:t>
      </w:r>
      <w:r>
        <w:tab/>
        <w:t>zawiera rozwiązania na rzecz rozwoju edukacji włączającej w danym OWP,</w:t>
      </w:r>
      <w:r>
        <w:br/>
        <w:t>c)</w:t>
      </w:r>
      <w:r>
        <w:tab/>
        <w:t>powinien w sposób możliwie jak najszerszy traktować istniejące potrzeby, w tym obligatoryjnie w zakresie edukacji włączającej,</w:t>
      </w:r>
      <w:r>
        <w:br/>
        <w:t>d)</w:t>
      </w:r>
      <w:r>
        <w:tab/>
        <w:t>przeprowadzona diagnoza powinna być podstawą przyjętych rozwiązań,</w:t>
      </w:r>
      <w:r>
        <w:br/>
        <w:t>e)</w:t>
      </w:r>
      <w:r>
        <w:tab/>
        <w:t>zaplanowane przedsięwzięcia stosują zasady uniwersalnego projektowania i racjonalnego dostosowania,</w:t>
      </w:r>
      <w:r>
        <w:br/>
        <w:t>f)</w:t>
      </w:r>
      <w:r>
        <w:tab/>
        <w:t>program rozwojowy zawarty we wniosku o dofinansowanie powinien stanowić odpowiedź na zdiagnozowane potrzeby i skutkować kompleksowym, trwałym podniesieniem jakości świadczonych usług oraz przygotowaniem OWP do prowadzenia edukacji włączającej.</w:t>
      </w:r>
      <w:r>
        <w:br/>
        <w:t>11.</w:t>
      </w:r>
      <w:r>
        <w:tab/>
        <w:t xml:space="preserve">Preferowane będą projekty wynikające z Gminnych Programów Rewitalizacji. </w:t>
      </w:r>
      <w:r>
        <w:br/>
        <w:t>12.</w:t>
      </w:r>
      <w:r>
        <w:tab/>
        <w:t>Przewidywane wsparcie z Budżetu Państwa w ramach środków określonych w Kontrakcie Programowym dla Województwa Lubelskiego i zgodnie z zał. 33.</w:t>
      </w:r>
    </w:p>
    <w:p w14:paraId="240F2E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E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E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E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E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E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E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E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E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E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E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E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E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E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25</w:t>
      </w:r>
    </w:p>
    <w:p w14:paraId="240F2E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E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(typ 1 - 3), w przypadku państwowych jednostek budżetowych: 5%</w:t>
      </w:r>
    </w:p>
    <w:p w14:paraId="240F2E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E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E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E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E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E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E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E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E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E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Służby publiczne</w:t>
      </w:r>
    </w:p>
    <w:p w14:paraId="240F2E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E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w wieku przedszkolnym (zgodnie z ustawą - Prawo oświatowe) i ich opiekunowie, dzieci w wieku przedszkolnym, uczniowie i ich rodzice/opiekunowie prawni z doświadczeniem migracji, OWP (z wyłączeniem specjalnych), przedstawiciele kadry OWP, przedszkola, oddziały przedszkolne w szkołach podstawowych i inne formy wychowania przedszkolnego z terenu regionu oraz ich kadra (w tym nauczyciele)</w:t>
      </w:r>
    </w:p>
    <w:p w14:paraId="240F2E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E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edukacja, edukacja_włączająca, kadra_pedagogiczna, kształcenie_ustawiczne, opieka_nad_dziećmi, osoby_z_niepełnosprawnościami, poradnie_psychologiczno_pedagogiczne, szkolenie_nauczycieli, szkolenie_zawodowe, wychowanie_przedszkolne</w:t>
      </w:r>
    </w:p>
    <w:p w14:paraId="240F2E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E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E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E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WLWK-PLFCO02 - Liczba dofinansowanych miejsc wychowania przedszkolnego</w:t>
      </w:r>
    </w:p>
    <w:p w14:paraId="240F2E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WLWK-PLFCO09 - Liczba dzieci lub uczniów o specjalnych potrzebach rozwojowych i edukacyjnych, którzy zostali objęci usługami asystenta</w:t>
      </w:r>
    </w:p>
    <w:p w14:paraId="240F2E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WLWK-PLFCO01 - Liczba dzieci objętych dodatkowymi zajęciami w edukacji przedszkolnej</w:t>
      </w:r>
    </w:p>
    <w:p w14:paraId="240F2E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WLWK-PLFCO08 - Liczba dzieci/uczniów o specjalnych potrzebach rozwojowych i edukacyjnych, objętych wsparciem</w:t>
      </w:r>
    </w:p>
    <w:p w14:paraId="240F2E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WLWK-PLFCO11 - Liczba miejsc wychowania przedszkolnego dostosowanych do potrzeb dzieci z niepełnosprawnością</w:t>
      </w:r>
    </w:p>
    <w:p w14:paraId="240F2E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E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240F2E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E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E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WLWK-PLFCO12 - Liczba ogólnodostępnych szkół i placówek systemu oświaty objętych wsparciem w zakresie edukacji włączającej</w:t>
      </w:r>
    </w:p>
    <w:p w14:paraId="240F2E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E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E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E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E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E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E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240F2E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240F2E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E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240F2E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E37"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3" w:name="_Toc241668247"/>
      <w:r>
        <w:rPr>
          <w:rFonts w:ascii="Calibri" w:hAnsi="Calibri" w:cs="Calibri"/>
          <w:sz w:val="32"/>
        </w:rPr>
        <w:t>Działanie FELU.10.03 Kształcenie ogólne</w:t>
      </w:r>
      <w:bookmarkEnd w:id="83"/>
    </w:p>
    <w:p w14:paraId="240F2E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E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240F2E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E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43 144 406,00</w:t>
      </w:r>
    </w:p>
    <w:p w14:paraId="240F2E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E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39 290 440,00</w:t>
      </w:r>
    </w:p>
    <w:p w14:paraId="240F2E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E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149 - Wsparcie na rzecz szkolnictwa podstawowego i średniego (z wyłączeniem infrastruktury)</w:t>
      </w:r>
    </w:p>
    <w:p w14:paraId="240F2E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E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Programy rozwojowe szkół, uwzględniające m.in.:</w:t>
      </w:r>
      <w:r>
        <w:br/>
        <w:t>a)</w:t>
      </w:r>
      <w:r>
        <w:tab/>
        <w:t>dostosowanie szkół i realizowanego nauczania do specjalnych potrzeb edukacyjnych uczniów oraz do potrzeb nauczycieli z niepełnosprawnościami, w tym upowszechnienie modelu dostępnej szkoły,</w:t>
      </w:r>
      <w:r>
        <w:br/>
        <w:t>b)</w:t>
      </w:r>
      <w:r>
        <w:tab/>
        <w:t>organizację i realizację dodatkowej oferty dydaktycznej, przyczyniającej się do rozwoju kompetencji społeczno-emocjonalnych, umiejętności podstawowych, przekrojowych i zawodowych niezbędnych na rynku pracy, w tym kompetencji cyfrowych, zielonych oraz rozwijającej talenty i zainteresowania uczniów (w tym uczniów ze środowisk defaworyzowanych i zdolnych),</w:t>
      </w:r>
      <w:r>
        <w:br/>
        <w:t>c)</w:t>
      </w:r>
      <w:r>
        <w:tab/>
        <w:t>rozwój umiejętności uczniów poprzez wsparcie potencjału dydaktycznego szkół,</w:t>
      </w:r>
      <w:r>
        <w:br/>
        <w:t>d)</w:t>
      </w:r>
      <w:r>
        <w:tab/>
        <w:t>organizację i udzielanie pomocy psychologiczno-pedagogicznej dla uczniów (w tym realizację zajęć rewalidacyjnych), wsparcie rodziców/opiekunów prawnych uczniów i nauczycieli w zakresie stymulowania rozwoju ucznia oraz doskonalenia umiejętności wychowawczych, a także zwiększenie kompetencji kadr oświaty w zakresie zapobiegania przemocy i dyskryminacji,</w:t>
      </w:r>
      <w:r>
        <w:br/>
        <w:t>e)</w:t>
      </w:r>
      <w:r>
        <w:tab/>
        <w:t>doradztwo edukacyjno-zawodowe lub zawodowe dla uczniów (w tym indywidualne oraz na każdym etapie kształcenia zajęcia zawodoznawcze u pracodawców),</w:t>
      </w:r>
      <w:r>
        <w:br/>
        <w:t>f)</w:t>
      </w:r>
      <w:r>
        <w:tab/>
        <w:t>współpracę szkół ponadpodstawowych z uczelniami i pracodawcami, w szczególności organizację staży dla uczniów u pracodawców,</w:t>
      </w:r>
      <w:r>
        <w:br/>
        <w:t>g)</w:t>
      </w:r>
      <w:r>
        <w:tab/>
        <w:t>wsparcie uczniów szkół ponadpodstawowych w zakresie zdobywania dodatkowych uprawnień i kwalifikacji zwiększających ich szanse na rynku pracy, w tym kompetencji cyfrowych,</w:t>
      </w:r>
      <w:r>
        <w:br/>
        <w:t>h)</w:t>
      </w:r>
      <w:r>
        <w:tab/>
        <w:t>doskonalenie zawodowe nauczycieli, w tym w ramach szkoły ćwiczeń,</w:t>
      </w:r>
      <w:r>
        <w:br/>
        <w:t>i)</w:t>
      </w:r>
      <w:r>
        <w:tab/>
        <w:t>podnoszenie jakości systemu zarządzania szkołami i placówkami oświatowymi, w tym kompetencji kadry zarządzającej,</w:t>
      </w:r>
      <w:r>
        <w:br/>
        <w:t>j)</w:t>
      </w:r>
      <w:r>
        <w:tab/>
        <w:t>wdrażanie nowych, innowacyjnych form nauczania.</w:t>
      </w:r>
      <w:r>
        <w:br/>
        <w:t>2.</w:t>
      </w:r>
      <w:r>
        <w:tab/>
        <w:t>Programy pomocy stypendialnej dla uczniów zdolnych znajdujących się w niekorzystnej sytuacji społeczno-ekonomicznej.</w:t>
      </w:r>
      <w:r>
        <w:br/>
        <w:t>3.</w:t>
      </w:r>
      <w:r>
        <w:tab/>
        <w:t>Wsparcie rozwijania kompetencji, umiejętności, uzdolnień, zainteresowań uczniów poza edukacją formalną.</w:t>
      </w:r>
      <w:r>
        <w:br/>
        <w:t>4.</w:t>
      </w:r>
      <w:r>
        <w:tab/>
        <w:t xml:space="preserve">Wsparcie procesu transformacji szkolnictwa specjalnego, poprzez m.in. wsparcie uczniów szkół specjalnych i ich rodziców w procesach integracji w szkolnictwie ogólnodostępnym, w procesach kształcenia zawodowego, przygotowania do pracy, wsparcie kadr szkół specjalnych w realizacji działań edukacji włączającej, wspieranie działań realizowanych w partnerstwie szkół specjalnych ze szkołami ogólnodostępnymi, uczelniami i pracodawcami. </w:t>
      </w:r>
      <w:r>
        <w:br/>
        <w:t>Kluczowe warunki realizacji projektów:</w:t>
      </w:r>
      <w:r>
        <w:br/>
        <w:t>Każdorazowo do ogłoszonego naboru projektów Instytucja Organizująca Nabór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t>
      </w:r>
      <w:r>
        <w:tab/>
        <w:t>Programy stypendialne skierowane będą do uczniów zdolnych znajdujących się w niekorzystnej sytuacji społeczno-ekonomicznej; umożliwią im wszechstronny rozwój edukacyjno-zawodowy, w tym wsparcie opiekuna dydaktycznego (typ 2).</w:t>
      </w:r>
      <w:r>
        <w:br/>
      </w:r>
      <w:r>
        <w:br/>
        <w:t>4)</w:t>
      </w:r>
      <w:r>
        <w:tab/>
        <w:t>Zakłada się możliwość zatrudnienia osób z Ukrainy, które znają w wystarczającym stopniu j. polski jako pracujące w szkołach (celem zwiększenia komunikacji pomiędzy nauczycielem a uczniem) (typ 1-4).</w:t>
      </w:r>
      <w:r>
        <w:br/>
        <w:t>5)</w:t>
      </w:r>
      <w:r>
        <w:tab/>
        <w:t>W przypadku tworzenia materiałów (w tym e-materiałów), aplikacji lub narzędzi informatycznych, nie będą one powielały już istniejących i planowanych do stworzenia na poziomie krajowym materiałów, aplikacji i narzędzi. Wypracowane w ramach regionalnych programów e-materiały spełniają standardy techniczne ZPE (aktualne na dzień ogłoszenia naboru), tak aby była możliwość ich publikacji na ZPE (typ 1, 3-4).</w:t>
      </w:r>
      <w:r>
        <w:br/>
        <w:t>6)</w:t>
      </w:r>
      <w:r>
        <w:tab/>
        <w:t>W przypadku wspierania kompetencji cyfrowych wykorzystany zostanie standard kompetencji cyfrowych na podstawie aktualnej na dzień ogłoszenia naboru wersji ramy „DigComp” (typ 1, 3, 4).</w:t>
      </w:r>
      <w:r>
        <w:br/>
        <w:t>7)</w:t>
      </w:r>
      <w:r>
        <w:tab/>
        <w:t>Celem interwencji EFS+ jest wspieranie równego dostępu do dobrej jakości włączającego kształcenia i szkolenia oraz możliwości ich ukończenia, w szczególności w odniesieniu do grup w niekorzystnej sytuacji (typ 1-4).</w:t>
      </w:r>
      <w:r>
        <w:br/>
        <w:t>8)</w:t>
      </w:r>
      <w:r>
        <w:tab/>
        <w:t>Wsparcie może obejmować w szczególności wyrównywanie szans edukacyjnych uczniów z obszarów wiejskich oraz z rodzin o niskim statusie społeczno-ekonomicznym, przy zapewnieniu braku stygmatyzacji (np. wsparcie powinno być kierowane do oddziałów klasowych lub szkół, a nie pojedynczych uczniów) (typ 1-4).</w:t>
      </w:r>
      <w:r>
        <w:br/>
        <w:t>9)</w:t>
      </w:r>
      <w:r>
        <w:tab/>
        <w:t>Projekty nie powielają działań realizowanych na poziomie krajowym (zarówno ze środków EFS+, jak i źródeł krajowych), w szczególności w zakresie rozwoju kompetencji nauczycieli (typ 1, 4).</w:t>
      </w:r>
      <w:r>
        <w:br/>
        <w:t>10)</w:t>
      </w:r>
      <w:r>
        <w:tab/>
        <w:t>Wsparcie dla danej szkoły lub placówki, jej kadry /lub uczniów jest realizowane w oparciu o indywidualnie zdiagnozowane potrzeby szkoły lub placówki, przede wszystkim w kontekście wyrównywania szans edukacyjnych uczniów (typ 1, 4).</w:t>
      </w:r>
      <w:r>
        <w:br/>
        <w:t>11)</w:t>
      </w:r>
      <w:r>
        <w:tab/>
        <w:t>Wsparcie w zakresie cyfryzacji danej szkoły lub placówki poprzedzone jest samooceną wykonaną przez szkołę lub placówkę, jej kadrę i uczniów przy wykorzystaniu narzędzia SELFIE (typ 1).</w:t>
      </w:r>
      <w:r>
        <w:br/>
        <w:t>12) Zakup sprzętu nie stanowi jedynego lub głównego celu projektu, wynika bezpośrednio ze zdiagnozowanych potrzeb i jest niezbędny do osiągnięcia celu projektu.</w:t>
      </w:r>
      <w:r>
        <w:br/>
        <w:t>13)</w:t>
      </w:r>
      <w:r>
        <w:tab/>
        <w:t>Działania dot. wsparcia ogólnodostępnych szkół lub placówek systemu oświaty w prowadzeniu skutecznej edukacji włączającej będą spełniać poniższe warunki:</w:t>
      </w:r>
      <w:r>
        <w:br/>
        <w:t>a)</w:t>
      </w:r>
      <w:r>
        <w:tab/>
        <w:t>dotyczyć przede wszystkim grup, które najbardziej potrzebują wsparcia, tj. koncentrują się na uczniach z niepełnosprawnościami lub niedostosowanych społecznie, lub zagrożonych niedostosowaniem społecznym (potwierdzone odpowiednim orzeczeniem) i zapewnieniu im pełnego dostępu do edukacji ogólnodostępnej, z właściwym wsparciem ogólnodostępnej szkole lub placówce w zakresie specjalnych potrzeb psychofizycznych (typ 1, 4).</w:t>
      </w:r>
      <w:r>
        <w:br/>
        <w:t>b)</w:t>
      </w:r>
      <w:r>
        <w:tab/>
        <w:t>przedsięwzięcia stosują zasady projektowania uniwersalnego w nauczaniu (ULD – universal learning design) (typ 1, 4);</w:t>
      </w:r>
      <w:r>
        <w:br/>
        <w:t>14)</w:t>
      </w:r>
      <w:r>
        <w:tab/>
        <w:t>Powszechne doradztwo zawodowe jest realizowane na wszystkich poziomach edukacji, w ramach kształcenia ogólnego i zawodowego; jest ono wolne od stereotypów płciowych w wyborze ścieżek edukacyjnych i zawodowych, a także wspiera przełamywanie tych stereotypów oraz promowanie przedmiotów STEAM (typ 1, 4).</w:t>
      </w:r>
      <w:r>
        <w:br/>
        <w:t>15)</w:t>
      </w:r>
      <w:r>
        <w:tab/>
        <w:t>Ze wsparcia wykluczone są szkoły podstawowe dla dorosłych oraz licea dla dorosłych (typ 1-4).</w:t>
      </w:r>
      <w:r>
        <w:br/>
        <w:t>16)</w:t>
      </w:r>
      <w:r>
        <w:tab/>
        <w:t>Program rozwojowy (typ 1):</w:t>
      </w:r>
      <w:r>
        <w:br/>
        <w:t>a)</w:t>
      </w:r>
      <w:r>
        <w:tab/>
        <w:t>stanowi kompleksową odpowiedź na zdiagnozowane, indywidualne potrzeby danej szkoły/placówki oświatowej, jej uczniów, rodziców i nauczycieli,</w:t>
      </w:r>
      <w:r>
        <w:br/>
        <w:t>b)</w:t>
      </w:r>
      <w:r>
        <w:tab/>
        <w:t>zawiera rozwiązania na rzecz rozwoju edukacji włączającej w danej szkole/placówce,</w:t>
      </w:r>
      <w:r>
        <w:br/>
        <w:t>c)</w:t>
      </w:r>
      <w:r>
        <w:tab/>
        <w:t>powinien w sposób możliwie jak najszerszy traktować istniejące potrzeby, w tym obligatoryjnie w zakresie edukacji włączającej,</w:t>
      </w:r>
      <w:r>
        <w:br/>
        <w:t>d)</w:t>
      </w:r>
      <w:r>
        <w:tab/>
        <w:t>przeprowadzona diagnoza powinna być podstawą przyjętych rozwiązań,</w:t>
      </w:r>
      <w:r>
        <w:br/>
        <w:t>e)</w:t>
      </w:r>
      <w:r>
        <w:tab/>
        <w:t>zaplanowane przedsięwzięcia stosują zasady uniwersalnego projektowania i racjonalnego dostosowania,</w:t>
      </w:r>
      <w:r>
        <w:br/>
        <w:t>f)</w:t>
      </w:r>
      <w:r>
        <w:tab/>
        <w:t>program rozwojowy zawarty we wniosku o dofinansowanie powinien stanowić odpowiedź na zdiagnozowane potrzeby i skutkować kompleksowym, trwałym podniesieniem jakości świadczonych usług oraz przygotowaniem szkoły/placówki do prowadzenia edukacji włączającej.</w:t>
      </w:r>
      <w:r>
        <w:br/>
        <w:t>17)</w:t>
      </w:r>
      <w:r>
        <w:tab/>
        <w:t>Preferowane będą projekty wynikające z Gminnych Programów Rewitalizacji.</w:t>
      </w:r>
      <w:r>
        <w:br/>
        <w:t>18)</w:t>
      </w:r>
      <w:r>
        <w:tab/>
        <w:t>Wartość wydatków w ramach cross -financingu stanowi nie więcej niż:</w:t>
      </w:r>
      <w:r>
        <w:br/>
        <w:t>-</w:t>
      </w:r>
      <w:r>
        <w:tab/>
        <w:t>typ 1 - 25% finansowania UE,</w:t>
      </w:r>
      <w:r>
        <w:br/>
        <w:t>-</w:t>
      </w:r>
      <w:r>
        <w:tab/>
        <w:t>typ 2 i 3 - 0% finansowania UE,</w:t>
      </w:r>
      <w:r>
        <w:br/>
        <w:t>-</w:t>
      </w:r>
      <w:r>
        <w:tab/>
        <w:t>typ 4 – 15% finansowania UE.</w:t>
      </w:r>
      <w:r>
        <w:br/>
        <w:t>19) Przewidywane wsparcie z Budżetu Państwa w ramach środków określonych w Kontrakcie Programowym dla Województwa Lubelskiego i zgodnie z zał. 33.</w:t>
      </w:r>
    </w:p>
    <w:p w14:paraId="240F2E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E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E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E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E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E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E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E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E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E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240F2E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E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E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E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25</w:t>
      </w:r>
    </w:p>
    <w:p w14:paraId="240F2E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E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(typ 1-4), w przypadku państwowych jednostek budżetowych: 5%</w:t>
      </w:r>
    </w:p>
    <w:p w14:paraId="240F2E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E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E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E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E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E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E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E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E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E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 Służby publiczne</w:t>
      </w:r>
    </w:p>
    <w:p w14:paraId="240F2E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E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w wieku przedszkolnym, uczniowie i ich rodzice/opiekunowie prawni z doświadczeniem migracji, pracodawcy, przedstawiciele kadry szkół lub placówek kształcenia ogólnego, rodzice lub opiekunowie, szkoły lub placówki kształcenia ogólnego (z wyłączeniem specjalnych), uczniowie szkół i placówek podstawowych, uczniowie szkół i placówek ponadpodstawowych, uczniowie, ich rodzice i opiekunowie prawni oraz kadra (w tym nauczyciele) szkół specjalnych</w:t>
      </w:r>
    </w:p>
    <w:p w14:paraId="240F2E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E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edukacja_włączająca, kadra_pedagogiczna, kompetencje_kluczowe, kształcenie_praktyczne, kształcenie_ustawiczne, kwalifikacje, poradnie_psychologiczno_pedagogiczne, szkoła, szkolenia, zintegrowana_strategia_umiejętności</w:t>
      </w:r>
    </w:p>
    <w:p w14:paraId="240F2E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E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E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E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E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E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WLWK-PLFCO09 - Liczba dzieci lub uczniów o specjalnych potrzebach rozwojowych i edukacyjnych, którzy zostali objęci usługami asystenta</w:t>
      </w:r>
    </w:p>
    <w:p w14:paraId="240F2E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WLWK-PLFCO08 - Liczba dzieci/uczniów o specjalnych potrzebach rozwojowych i edukacyjnych, objętych wsparciem</w:t>
      </w:r>
    </w:p>
    <w:p w14:paraId="240F2E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E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240F2E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E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E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WLWK-PLFCO12 - Liczba ogólnodostępnych szkół i placówek systemu oświaty objętych wsparciem w zakresie edukacji włączającej</w:t>
      </w:r>
    </w:p>
    <w:p w14:paraId="240F2E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E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E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E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E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E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E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WLWK-PLFCO14 - Liczba przedstawicieli kadr szkół i placówek systemu oświaty objętych wsparciem świadczonym przez szkoły ćwiczeń</w:t>
      </w:r>
    </w:p>
    <w:p w14:paraId="240F2E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240F2E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240F2E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WLWK-PLFCO03 - Liczba uczniów szkół i placówek systemu oświaty prowadzących kształcenie ogólne objętych wsparciem</w:t>
      </w:r>
    </w:p>
    <w:p w14:paraId="240F2E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WLWK-PLFCO13 - Liczba uczniów uczestniczących w doradztwie zawodowym</w:t>
      </w:r>
    </w:p>
    <w:p w14:paraId="240F2E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E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240F2E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WLWK-PLFCR01 - Liczba uczniów, którzy nabyli kwalifikacje po opuszczeniu programu</w:t>
      </w:r>
    </w:p>
    <w:p w14:paraId="240F2E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PROG-FELCR19 - Liczba uczniów, którzy zrealizowali swoje cele rozwojowe po opuszczeniu programu</w:t>
      </w:r>
    </w:p>
    <w:p w14:paraId="240F2E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E7C"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4" w:name="_Toc241668248"/>
      <w:r>
        <w:rPr>
          <w:rFonts w:ascii="Calibri" w:hAnsi="Calibri" w:cs="Calibri"/>
          <w:sz w:val="32"/>
        </w:rPr>
        <w:t>Działanie FELU.10.04 Kształcenie zawodowe</w:t>
      </w:r>
      <w:bookmarkEnd w:id="84"/>
    </w:p>
    <w:p w14:paraId="240F2E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E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240F2E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E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35 397 618,00</w:t>
      </w:r>
    </w:p>
    <w:p w14:paraId="240F2E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E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32 113 580,00</w:t>
      </w:r>
    </w:p>
    <w:p w14:paraId="240F2E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E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149 - Wsparcie na rzecz szkolnictwa podstawowego i średniego (z wyłączeniem infrastruktury)</w:t>
      </w:r>
    </w:p>
    <w:p w14:paraId="240F2E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E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Programy rozwojowe szkół, uwzględniające m.in.:</w:t>
      </w:r>
      <w:r>
        <w:br/>
        <w:t>a)</w:t>
      </w:r>
      <w:r>
        <w:tab/>
        <w:t>współpracę szkół i centrów kształcenia zawodowego i ustawicznego z pracodawcami i uczelniami w celu zwiększenia potencjału szkół, w szczególności poprzez organizację zajęć dla uczniów</w:t>
      </w:r>
      <w:r>
        <w:br/>
        <w:t>b)</w:t>
      </w:r>
      <w:r>
        <w:tab/>
        <w:t>dodatkowe zajęcia specjalistyczne umożliwiające uczniom uzyskiwanie i uzupełnianie wiedzy i umiejętności zawodowych, w szczególności w zakresie zielonej transformacji oraz kompetencji cyfrowych</w:t>
      </w:r>
      <w:r>
        <w:br/>
        <w:t>c)</w:t>
      </w:r>
      <w:r>
        <w:tab/>
        <w:t>wsparcie nauczycieli (w tym nauczycieli zawodu) oraz instruktorów praktycznej nauki zawodu w zakresie uzyskiwania uprawnień/kwalifikacji do nauczania zawodu, w zakresie odbywania staży/szkoleń branżowych</w:t>
      </w:r>
      <w:r>
        <w:br/>
        <w:t>d)</w:t>
      </w:r>
      <w:r>
        <w:tab/>
        <w:t>wsparcie osób posiadających przygotowanie zawodowe uznane przez dyrektora szkoły lub placówki za odpowiednie do prowadzenia zajęć z zakresu kształcenia zawodowego w zakresie uzyskiwania uprawnień/kwalifikacji do nauczania zawodu, w zakresie odbywania staży/szkoleń branżowych</w:t>
      </w:r>
      <w:r>
        <w:br/>
        <w:t>e)</w:t>
      </w:r>
      <w:r>
        <w:tab/>
        <w:t>dostosowanie szkół i realizowanego nauczania do specjalnych potrzeb edukacyjnych uczniów oraz do potrzeb nauczycieli z niepełnosprawnościami, w tym upowszechnienie modelu dostępnej szkoły</w:t>
      </w:r>
      <w:r>
        <w:br/>
        <w:t>f)</w:t>
      </w:r>
      <w:r>
        <w:tab/>
        <w:t>organizację i realizację dodatkowej oferty dydaktycznej, przyczyniającej się do rozwoju kompetencji społeczno-emocjonalnych, umiejętności podstawowych, przekrojowych i zawodowych niezbędnych na rynku pracy, w tym kompetencji cyfrowych, zielonych oraz rozwijającej talenty i zainteresowania uczniów (w tym uczniów ze środowisk defaworyzowanych i zdolnych)</w:t>
      </w:r>
      <w:r>
        <w:br/>
        <w:t>g)</w:t>
      </w:r>
      <w:r>
        <w:tab/>
        <w:t>rozwój umiejętności uczniów poprzez wsparcie potencjału dydaktycznego szkół</w:t>
      </w:r>
      <w:r>
        <w:br/>
        <w:t>h)</w:t>
      </w:r>
      <w:r>
        <w:tab/>
        <w:t>organizację i udzielanie pomocy psychologiczno-pedagogicznej dla uczniów (w tym realizację zajęć rewalidacyjnych), wsparcie rodziców/opiekunów prawnych uczniów i nauczycieli w zakresie stymulowania rozwoju ucznia oraz doskonalenia umiejętności wychowawczych, a także zwiększenie kompetencji kadr oświaty w zakresie zapobiegania przemocy i dyskryminacji</w:t>
      </w:r>
      <w:r>
        <w:br/>
        <w:t>i)</w:t>
      </w:r>
      <w:r>
        <w:tab/>
        <w:t>doradztwo edukacyjno-zawodowe lub zawodowe dla uczniów (w tym indywidualne oraz na każdym etapie kształcenia zajęcia zawodoznawcze u pracodawców)</w:t>
      </w:r>
      <w:r>
        <w:br/>
        <w:t>j)</w:t>
      </w:r>
      <w:r>
        <w:tab/>
        <w:t>współpracę szkół ponadpodstawowych z uczelniami i pracodawcami, w szczególności organizację staży dla uczniów u pracodawców</w:t>
      </w:r>
      <w:r>
        <w:br/>
        <w:t>k)</w:t>
      </w:r>
      <w:r>
        <w:tab/>
        <w:t>wsparcie uczniów szkół ponadpodstawowych w zakresie zdobywania dodatkowych uprawnień i kwalifikacji zwiększających ich szanse na rynku pracy, w tym kompetencji cyfrowych</w:t>
      </w:r>
      <w:r>
        <w:br/>
        <w:t>l)</w:t>
      </w:r>
      <w:r>
        <w:tab/>
        <w:t>doskonalenie zawodowe nauczycieli, w tym w ramach szkoły ćwiczeń</w:t>
      </w:r>
      <w:r>
        <w:br/>
        <w:t>m)</w:t>
      </w:r>
      <w:r>
        <w:tab/>
        <w:t>podnoszenie jakości systemu zarządzania szkołami i placówkami oświatowymi, w tym kompetencji kadry zarządzającej</w:t>
      </w:r>
      <w:r>
        <w:br/>
        <w:t>n)</w:t>
      </w:r>
      <w:r>
        <w:tab/>
        <w:t>wdrażanie nowych, innowacyjnych form nauczania</w:t>
      </w:r>
      <w:r>
        <w:br/>
        <w:t>2.</w:t>
      </w:r>
      <w:r>
        <w:tab/>
        <w:t>Programy pomocy stypendialnej dla uczniów zdolnych znajdujących się w niekorzystnej sytuacji społeczno-ekonomicznej</w:t>
      </w:r>
      <w:r>
        <w:br/>
        <w:t>3.</w:t>
      </w:r>
      <w:r>
        <w:tab/>
        <w:t>Wsparcie rozwijania kompetencji, umiejętności, uzdolnień, zainteresowań uczniów poza edukacją formalną</w:t>
      </w:r>
      <w:r>
        <w:br/>
        <w:t>4.</w:t>
      </w:r>
      <w:r>
        <w:tab/>
        <w:t>Wsparcie procesu transformacji szkolnictwa specjalnego, poprzez m.in. wsparcie uczniów szkół specjalnych i ich rodziców w procesach integracji w szkolnictwie ogólnodostępnym, w procesach kształcenia zawodowego, przygotowania do pracy, wsparcie kadr szkół specjalnych w realizacji działań edukacji włączającej, wspieranie działań realizowanych w partnerstwie szkół specjalnych ze szkołami ogólnodostępnymi, uczelniami i pracodawcami.</w:t>
      </w:r>
      <w:r>
        <w:br/>
        <w:t>5.</w:t>
      </w:r>
      <w:r>
        <w:tab/>
        <w:t>Budowanie potencjału partnerów społecznych w zakresie działań wspierających kształcenie zawodowe.</w:t>
      </w:r>
      <w:r>
        <w:br/>
        <w:t>Kluczowe warunki realizacji projektów:</w:t>
      </w:r>
      <w:r>
        <w:br/>
        <w:t>Każdorazowo do ogłoszonego naboru projektów ION określi szczegółowe zasady realizacji wsparcia w zakresie poszczególnych typów projektów:</w:t>
      </w:r>
      <w:r>
        <w:br/>
        <w:t>1)</w:t>
      </w:r>
      <w:r>
        <w:tab/>
        <w:t>Projekty realizowane zgodnie z Wytycznymi dot.:</w:t>
      </w:r>
      <w:r>
        <w:br/>
        <w:t>a)</w:t>
      </w:r>
      <w:r>
        <w:tab/>
        <w:t>kwalifikowalności wydatków na lata 2021-2027</w:t>
      </w:r>
      <w:r>
        <w:br/>
        <w:t>b)</w:t>
      </w:r>
      <w:r>
        <w:tab/>
        <w:t>realizacji zasad równościowych w ramach funduszy unijnych na lata 2021-2027</w:t>
      </w:r>
      <w:r>
        <w:br/>
        <w:t>c)</w:t>
      </w:r>
      <w:r>
        <w:tab/>
        <w:t>monitorowania postępu rzeczowego realizacji programów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t>
      </w:r>
      <w:r>
        <w:tab/>
        <w:t>Działania będą komplementarne z przedsięwzięciami na poziomie krajowym.</w:t>
      </w:r>
      <w:r>
        <w:br/>
        <w:t>4.</w:t>
      </w:r>
      <w:r>
        <w:tab/>
        <w:t>Programy stypendialne skierowane będą do uczniów zdolnych znajdujących się w niekorzystnej sytuacji społeczno-ekonomicznej; umożliwią im wszechstronny rozwój edukacyjno-zawodowy, w tym wsparcie opiekuna dydaktycznego (typ 2).</w:t>
      </w:r>
      <w:r>
        <w:br/>
        <w:t>5.</w:t>
      </w:r>
      <w:r>
        <w:tab/>
        <w:t>Zakłada się możliwość zatrudnienia osób z Ukrainy, które znają w wystarczającym stopniu j. polski jako pracujące w szkołach, celem zwiększenia komunikacji pomiędzy nauczycielem a uczniem (typ 1-4).</w:t>
      </w:r>
      <w:r>
        <w:br/>
        <w:t>6.</w:t>
      </w:r>
      <w:r>
        <w:tab/>
        <w:t>W przypadku tworzenia materiałów (w tym e-materiałów), aplikacji, narzędzi informatycznych, nie będą one powielały już istniejących i planowanych do stworzenia na poziomie krajowym materiałów, aplikacji i narzędzi. Wypracowane w ramach RP e-materiały spełniają standardy techniczne ZPE (aktualne na dzień ogłoszenia naboru), tak aby była możliwość ich publikacji na ZPE (typ 1, 3, 4).</w:t>
      </w:r>
      <w:r>
        <w:br/>
        <w:t>7.</w:t>
      </w:r>
      <w:r>
        <w:tab/>
        <w:t>W przypadku wspierania kompetencji cyfrowych wykorzystany zostanie standard kompetencji cyfrowych na podstawie aktualnej na dzień ogłoszenia naboru wersji ramy „DigComp” (typ 1, 3, 4).</w:t>
      </w:r>
      <w:r>
        <w:br/>
        <w:t>8.</w:t>
      </w:r>
      <w:r>
        <w:tab/>
        <w:t>Celem interwencji EFS+ jest wspieranie równego dostępu do dobrej jakości włączającego kształcenia i szkolenia oraz możliwości ich ukończenia, w szczególności w odniesieniu do grup w niekorzystnej sytuacji (typ 1- 4).</w:t>
      </w:r>
      <w:r>
        <w:br/>
        <w:t>9.</w:t>
      </w:r>
      <w:r>
        <w:tab/>
        <w:t>Wsparcie może obejmować w szczególności wyrównywanie szans edukacyjnych uczniów z obszarów wiejskich oraz z rodzin o niskim statusie społ.-ekonomicznym, przy zapewnieniu braku stygmatyzacji (np. wsparcie powinno być kierowane do oddziałów klasowych lub szkół, a nie pojedynczych uczniów) (typ 1-4).</w:t>
      </w:r>
      <w:r>
        <w:br/>
        <w:t>10.</w:t>
      </w:r>
      <w:r>
        <w:tab/>
        <w:t>Projekty nie powielają działań realizowanych na poziomie krajowym (zarówno ze środków EFS+, jak i źródeł krajowych), w szczególności w zakresie rozwoju kompetencji nauczycieli. (typ 1, 4).</w:t>
      </w:r>
      <w:r>
        <w:br/>
        <w:t>11.</w:t>
      </w:r>
      <w:r>
        <w:tab/>
        <w:t>Wsparcie dla szkoły lub placówki, jej kadry lub uczniów jest realizowane w oparciu o indywidualnie zdiagnozowane potrzeby szkoły lub placówki, przede wszystkim w kontekście wyrównywania szans edukacyjnych uczniów (typ 1, 4).</w:t>
      </w:r>
      <w:r>
        <w:br/>
        <w:t>12.</w:t>
      </w:r>
      <w:r>
        <w:tab/>
        <w:t>Wsparcie w zakresie cyfryzacji danej szkoły lub placówki poprzedzone jest samooceną wykonaną przez szkołę lub placówkę, jej kadrę i uczniów przy wykorzystaniu narzędzia SELFIE (typ 1).</w:t>
      </w:r>
      <w:r>
        <w:br/>
        <w:t>13. Zakup sprzętu nie stanowi jedynego lub głównego celu projektu, wynika bezpośrednio ze zdiagnozowanych potrzeb i jest niezbędny do osiągnięcia celu projektu.</w:t>
      </w:r>
      <w:r>
        <w:br/>
        <w:t>14.</w:t>
      </w:r>
      <w:r>
        <w:tab/>
        <w:t>Działania dot. wsparcia ogólnodostępnych szkół lub placówek systemu oświaty w prowadzeniu skutecznej edukacji włączającej będą:</w:t>
      </w:r>
      <w:r>
        <w:br/>
        <w:t>a)</w:t>
      </w:r>
      <w:r>
        <w:tab/>
        <w:t>dotyczyć przede wszystkim grup, które najbardziej potrzebują wsparcia, tj. koncentrują się na uczniach z niepełnosprawnościami lub niedostosowanych społecznie, lub zagrożonych niedostosowaniem społecznym (potwierdzone odpowiednim orzeczeniem) i zapewnieniu im pełnego dostępu do edukacji ogólnodostępnej, z właściwym wsparciem w ogólnodostępnej szkole lub placówce w zakresie specjalnych potrzeb psychofizycznych (typ 1, 4)</w:t>
      </w:r>
      <w:r>
        <w:br/>
        <w:t>b)</w:t>
      </w:r>
      <w:r>
        <w:tab/>
        <w:t>stosować zasady projektowania uniwersalnego w nauczaniu (ULD – universal learning design) (typ 1, 4).</w:t>
      </w:r>
      <w:r>
        <w:br/>
        <w:t>15.</w:t>
      </w:r>
      <w:r>
        <w:tab/>
        <w:t>Powszechne doradztwo zawodowe jest realizowane na wszystkich poziomach edukacji, w ramach kształcenia ogólnego i zawodowego; jest ono wolne od stereotypów płciowych w wyborze ścieżek edukacyjnych i zawodowych, a także wspiera przełamywanie stereotypów oraz promowanie przedmiotów STEAM (typ 1, 4).</w:t>
      </w:r>
      <w:r>
        <w:br/>
        <w:t>16.</w:t>
      </w:r>
      <w:r>
        <w:tab/>
        <w:t>Staże uczniowskie, w rozumieniu ustawy z dnia 14 grudnia 2016 r. – Prawo oświatowe, są realizowane z zachowaniem najwyższych standardów jakości, na zasadach określonych w tej ustawie, tak aby ułatwiały uzyskanie doświadczenia i nabywania umiejętności praktycznych niezbędnych do wykonywania pracy w zawodzie i są obowiązkowo rozliczane z wykorzystaniem stawki jednostkowej, a także monitorowane za pomocą wskaźnika dotyczącego staży uczniowskich zdefiniowanego na Liście Wskaźników Kluczowych na lata 2021– 2027 dla EFS+, którego wartość docelowa jest określana we wniosku o dofinansowanie (typ 1).</w:t>
      </w:r>
      <w:r>
        <w:br/>
        <w:t>17.</w:t>
      </w:r>
      <w:r>
        <w:tab/>
        <w:t>Staże lub praktyki zawodowe inne niż staże uczniowskie, realizowane są z zachowaniem standardów jakości, zdefiniowanych w zaleceniu Rady z dnia 15 marca 2018 r. w sprawie europejskich ram jakości i skuteczności przygotowania zawodowego (Dz. Urz. UE C 153 z 02.05.2018, str. 1) - część dotycząca „Kryteria dotyczące warunków uczenia się i warunków pracy”, tak aby ułatwiały uzyskanie doświadczenia i nabywania umiejętności praktycznych niezbędnych do wykonywania pracy w zawodzie i rozliczane są po faktycznie poniesionych kosztach. Przedmiotowe staże lub praktyki zawodowe nie mogą być kierowane do uczniów technikum i uczniów branżowej szkoły I stopnia niebędących młodocianymi pracownikami (typ 1).</w:t>
      </w:r>
      <w:r>
        <w:br/>
        <w:t>18.</w:t>
      </w:r>
      <w:r>
        <w:tab/>
        <w:t>Staże uczniowskie realizowane są zgodnie z Wytycznymi dotyczącymi realizacji projektów z udziałem środków Europejskiego Funduszu Społecznego Plus w regionalnych programach na lata 2021–2027 (typ 1).</w:t>
      </w:r>
      <w:r>
        <w:br/>
        <w:t>19.</w:t>
      </w:r>
      <w:r>
        <w:tab/>
        <w:t>Program rozwojowy (typ 1) – w rozumieniu definicji zawartej w Działaniu 10.3.</w:t>
      </w:r>
      <w:r>
        <w:br/>
        <w:t>20.</w:t>
      </w:r>
      <w:r>
        <w:tab/>
        <w:t>Preferowane będą projekty wynikające z Gminnych Programów Rewitalizacji.</w:t>
      </w:r>
      <w:r>
        <w:br/>
        <w:t>22.</w:t>
      </w:r>
      <w:r>
        <w:tab/>
        <w:t>Wnioskodawcą w ramach typu 5 mogą być wyłącznie podmioty spełniające definicję partnera społecznego.</w:t>
      </w:r>
      <w:r>
        <w:br/>
        <w:t>23.</w:t>
      </w:r>
      <w:r>
        <w:tab/>
        <w:t>Wartość wydatków w ramach cross -financingu stanowi nie więcej:</w:t>
      </w:r>
      <w:r>
        <w:br/>
        <w:t>a) typ 1 - 25% finansowania UE,</w:t>
      </w:r>
      <w:r>
        <w:br/>
        <w:t>b) typ 2 i 3 - 0% finansowania UE,</w:t>
      </w:r>
      <w:r>
        <w:br/>
        <w:t>c) typ 4, 5 – 15% finansowania UE.</w:t>
      </w:r>
      <w:r>
        <w:br/>
        <w:t>24.</w:t>
      </w:r>
      <w:r>
        <w:tab/>
        <w:t>Przewidywane wsparcie z Budżetu Państwa w ramach środków określonych w Kontrakcie Programowym dla Województwa Lubelskiego i zgodnie z zał. 33.</w:t>
      </w:r>
    </w:p>
    <w:p w14:paraId="240F2E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E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E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E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E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E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E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E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E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E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240F2E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E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E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E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25</w:t>
      </w:r>
    </w:p>
    <w:p w14:paraId="240F2E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E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(typ 1-5), w przypadku państwowych jednostek budżetowych: 5%</w:t>
      </w:r>
    </w:p>
    <w:p w14:paraId="240F2E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E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E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E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E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E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2E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E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E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E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Partnerzy społeczni, Przedsiębiorstwa, Służby publiczne</w:t>
      </w:r>
    </w:p>
    <w:p w14:paraId="240F2E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E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w wieku przedszkolnym, uczniowie i ich rodzice/opiekunowie prawni z doświadczeniem migracji, instruktorzy praktycznej nauki zawodu, partnerzy społeczni, pracodawcy, przedstawiciele kadry szkół lub placówek kształcenia zawodowego, rodzice lub opiekunowie, szkoły lub placówki kształcenia zawodowego (z wyłączeniem specjalnych), uczniowie lub słuchacze szkół lub placówek kształcenia zawodowego, uczniowie, ich rodzice i opiekunowie prawni oraz kadra (w tym nauczyciele) szkół specjalnych</w:t>
      </w:r>
    </w:p>
    <w:p w14:paraId="240F2E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E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dialog_społeczny, dopasowanie_do_rynku_pracy, doradztwo_zawodowe, egzamin, kompetencje_kluczowe, kształcenie_zawodowe, kwalifikacje, staże, szkolenie_nauczycieli, szkolenie_zawodowe</w:t>
      </w:r>
    </w:p>
    <w:p w14:paraId="240F2E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E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E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E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E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E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WLWK-PLFCO09 - Liczba dzieci lub uczniów o specjalnych potrzebach rozwojowych i edukacyjnych, którzy zostali objęci usługami asystenta</w:t>
      </w:r>
    </w:p>
    <w:p w14:paraId="240F2E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WLWK-PLFCO08 - Liczba dzieci/uczniów o specjalnych potrzebach rozwojowych i edukacyjnych, objętych wsparciem</w:t>
      </w:r>
    </w:p>
    <w:p w14:paraId="240F2E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E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240F2E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E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E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WLWK-PLFCO12 - Liczba ogólnodostępnych szkół i placówek systemu oświaty objętych wsparciem w zakresie edukacji włączającej</w:t>
      </w:r>
    </w:p>
    <w:p w14:paraId="240F2E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WLWK-PL0CO08 - Liczba organizacji partnerów społecznych objętych wsparciem</w:t>
      </w:r>
    </w:p>
    <w:p w14:paraId="240F2E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E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E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E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E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E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E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WLWK-PLFCO14 - Liczba przedstawicieli kadr szkół i placówek systemu oświaty objętych wsparciem świadczonym przez szkoły ćwiczeń</w:t>
      </w:r>
    </w:p>
    <w:p w14:paraId="240F2E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240F2E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WLWK-PL0CO09 - Liczba przedstawicieli organizacji partnerów społecznych objętych wsparciem</w:t>
      </w:r>
    </w:p>
    <w:p w14:paraId="240F2E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240F2E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WLWK-PLFCO04 - Liczba uczniów i słuchaczy szkół i placówek kształcenia zawodowego objętych wsparciem</w:t>
      </w:r>
    </w:p>
    <w:p w14:paraId="240F2E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WLWK-PLEFCO05 - Liczba uczniów szkół i placówek kształcenia zawodowego uczestniczących w stażach uczniowskich</w:t>
      </w:r>
    </w:p>
    <w:p w14:paraId="240F2E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WLWK-PLFCO13 - Liczba uczniów uczestniczących w doradztwie zawodowym</w:t>
      </w:r>
    </w:p>
    <w:p w14:paraId="240F2E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E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WLWK-PL0CR04 - Liczba organizacji partnerów społecznych, które zwiększyły swój potencjał</w:t>
      </w:r>
    </w:p>
    <w:p w14:paraId="240F2E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240F2E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WLWK-PL0CR05 - Liczba przedstawicieli organizacji partnerów społecznych, którzy podnieśli kompetencje</w:t>
      </w:r>
    </w:p>
    <w:p w14:paraId="240F2E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WLWK-PLFCR01 - Liczba uczniów, którzy nabyli kwalifikacje po opuszczeniu programu</w:t>
      </w:r>
    </w:p>
    <w:p w14:paraId="240F2E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PROG-FELCR19 - Liczba uczniów, którzy zrealizowali swoje cele rozwojowe po opuszczeniu programu</w:t>
      </w:r>
    </w:p>
    <w:p w14:paraId="240F2E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EC6"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5" w:name="_Toc241668249"/>
      <w:r>
        <w:rPr>
          <w:rFonts w:ascii="Calibri" w:hAnsi="Calibri" w:cs="Calibri"/>
          <w:sz w:val="32"/>
        </w:rPr>
        <w:t>Działanie FELU.10.05 Wsparcie edukacji w ramach Zintegrowanych Inwestycji Terytorialnych</w:t>
      </w:r>
      <w:bookmarkEnd w:id="85"/>
    </w:p>
    <w:p w14:paraId="240F2E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E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240F2E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E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15 472 878,00</w:t>
      </w:r>
    </w:p>
    <w:p w14:paraId="240F2E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E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14 096 073,00</w:t>
      </w:r>
    </w:p>
    <w:p w14:paraId="240F2E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E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148 - Wsparcie na rzecz wczesnej edukacji i opieki nad dzieckiem (z wyłączeniem infrastruktury), 149 - Wsparcie na rzecz szkolnictwa podstawowego i średniego (z wyłączeniem infrastruktury)</w:t>
      </w:r>
    </w:p>
    <w:p w14:paraId="240F2E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E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Tworzenie nowych miejsc wychowania przedszkolnego i związanej z tym bazy lokalowej i dydaktycznej.</w:t>
      </w:r>
      <w:r>
        <w:br/>
        <w:t>2.</w:t>
      </w:r>
      <w:r>
        <w:tab/>
        <w:t>Unowocześnianie istniejącej bazy lokalowej i dydaktycznej w zakresie edukacji włączającej przedszkolnej.</w:t>
      </w:r>
      <w:r>
        <w:br/>
        <w:t>3.</w:t>
      </w:r>
      <w:r>
        <w:tab/>
        <w:t>Programy rozwojowe OWP, uwzględniające m.in.:</w:t>
      </w:r>
      <w:r>
        <w:br/>
        <w:t>a)</w:t>
      </w:r>
      <w:r>
        <w:tab/>
        <w:t>poprawę dostępności OWP,</w:t>
      </w:r>
      <w:r>
        <w:br/>
        <w:t>b)</w:t>
      </w:r>
      <w:r>
        <w:tab/>
        <w:t>dodatkowe zajęcia dydaktyczno-wychowawcze oraz specjalistyczne,</w:t>
      </w:r>
      <w:r>
        <w:br/>
        <w:t>c)</w:t>
      </w:r>
      <w:r>
        <w:tab/>
        <w:t>pomoc psychologiczno-pedagogiczną dla dzieci, rodziców/opiekunów i nauczycieli, w tym w zakresie stymulowania rozwoju dziecka, rozwijania kompetencji wychowawczych i opiekuńczych, działania na rzecz usprawniania relacji i współpracy kadry z rodzicami/opiekunami,</w:t>
      </w:r>
      <w:r>
        <w:br/>
        <w:t>d)</w:t>
      </w:r>
      <w:r>
        <w:tab/>
        <w:t>doskonalenie zawodowe kadry OWP (w tym nauczycieli i kadr zarządzających), w szczególności w zakresie pracy z dziećmi ze specjalnymi potrzebami edukacyjnymi, w tym z dziećmi zdolnymi i z dziećmi z niepełnosprawnościami, podnoszenie jakości systemu zarządzania OWP.</w:t>
      </w:r>
      <w:r>
        <w:br/>
        <w:t>4.</w:t>
      </w:r>
      <w:r>
        <w:tab/>
        <w:t>Programy rozwojowe szkół kształcenia ogólnego, uwzględniające m.in.:</w:t>
      </w:r>
      <w:r>
        <w:br/>
        <w:t>a)</w:t>
      </w:r>
      <w:r>
        <w:tab/>
        <w:t>dostosowanie szkół i realizowanego nauczania do specjalnych potrzeb edukacyjnych uczniów oraz do potrzeb nauczycieli z niepełnosprawnościami, w tym upowszechnienie modelu dostępnej szkoły;</w:t>
      </w:r>
      <w:r>
        <w:br/>
        <w:t>b)</w:t>
      </w:r>
      <w:r>
        <w:tab/>
        <w:t>organizację i realizację dodatkowej oferty dydaktycznej, przyczyniającej się do rozwoju kompetencji społeczno-emocjonalnych, umiejętności podstawowych, przekrojowych i zawodowych niezbędnych na rynku pracy, w tym kompetencji cyfrowych, zielonych oraz rozwijającej talenty i zainteresowania uczniów (w tym uczniów ze środowisk defaworyzowanych i zdolnych);</w:t>
      </w:r>
      <w:r>
        <w:br/>
        <w:t>c)</w:t>
      </w:r>
      <w:r>
        <w:tab/>
        <w:t>rozwój umiejętności uczniów poprzez wsparcie potencjału dydaktycznego szkół,</w:t>
      </w:r>
      <w:r>
        <w:br/>
        <w:t>d)</w:t>
      </w:r>
      <w:r>
        <w:tab/>
        <w:t>organizację i udzielanie pomocy psychologiczno-pedagogicznej dla uczniów (w tym realizację zajęć rewalidacyjnych), wsparcie rodziców/opiekunów prawnych uczniów i nauczycieli w zakresie stymulowania rozwoju ucznia oraz doskonalenia umiejętności wychowawczych, a także zwiększenie kompetencji kadr oświaty w zakresie zapobiegania przemocy i dyskryminacji;</w:t>
      </w:r>
      <w:r>
        <w:br/>
        <w:t>e)</w:t>
      </w:r>
      <w:r>
        <w:tab/>
        <w:t>doradztwo edukacyjno-zawodowe lub zawodowe dla uczniów (w tym indywidualne oraz na każdym etapie kształcenia zajęcia zawodoznawcze u pracodawców);</w:t>
      </w:r>
      <w:r>
        <w:br/>
        <w:t>f)</w:t>
      </w:r>
      <w:r>
        <w:tab/>
        <w:t>współpracę szkół ponadpodstawowych z uczelniami i pracodawcami, w szczególności organizację staży dla uczniów u pracodawców;</w:t>
      </w:r>
      <w:r>
        <w:br/>
        <w:t>g)</w:t>
      </w:r>
      <w:r>
        <w:tab/>
        <w:t>wsparcie uczniów szkół ponadpodstawowych w zakresie zdobywania dodatkowych uprawnień i kwalifikacji zwiększających ich szanse na rynku pracy, w tym kompetencji cyfrowych;</w:t>
      </w:r>
      <w:r>
        <w:br/>
        <w:t>h)</w:t>
      </w:r>
      <w:r>
        <w:tab/>
        <w:t>doskonalenie zawodowe nauczycieli, w tym w ramach szkoły ćwiczeń;</w:t>
      </w:r>
      <w:r>
        <w:br/>
        <w:t>i)</w:t>
      </w:r>
      <w:r>
        <w:tab/>
        <w:t>podnoszenie jakości systemu zarządzania szkołami i placówkami oświatowymi, w tym kompetencji kadry zarządzającej;</w:t>
      </w:r>
      <w:r>
        <w:br/>
        <w:t>j)</w:t>
      </w:r>
      <w:r>
        <w:tab/>
        <w:t>wdrażanie nowych, innowacyjnych form nauczania.</w:t>
      </w:r>
      <w:r>
        <w:br/>
        <w:t>5.</w:t>
      </w:r>
      <w:r>
        <w:tab/>
        <w:t>Programy rozwojowe szkół kształcenia zawodowego, uwzględniające m.in.:</w:t>
      </w:r>
      <w:r>
        <w:br/>
        <w:t>a)</w:t>
      </w:r>
      <w:r>
        <w:tab/>
        <w:t>współpracę szkół i centrów kształcenia zawodowego i ustawicznego z pracodawcami i uczelniami w celu zwiększenia potencjału szkół, w szczególności poprzez organizację zajęć dla uczniów,</w:t>
      </w:r>
      <w:r>
        <w:br/>
        <w:t>b)</w:t>
      </w:r>
      <w:r>
        <w:tab/>
        <w:t>dodatkowe zajęcia specjalistyczne umożliwiające uczniom uzyskiwanie i uzupełnianie wiedzy i umiejętności zawodowych, w szczególności w zakresie zielonej transformacji oraz kompetencji cyfrowych,</w:t>
      </w:r>
      <w:r>
        <w:br/>
        <w:t>c)</w:t>
      </w:r>
      <w:r>
        <w:tab/>
        <w:t>wsparcie nauczycieli (w tym nauczycieli zawodu) oraz instruktorów praktycznej nauki zawodu w zakresie uzyskiwania uprawnień/kwalifikacji do nauczania zawodu, w zakresie odbywania staży/szkoleń branżowych,</w:t>
      </w:r>
      <w:r>
        <w:br/>
        <w:t>d)</w:t>
      </w:r>
      <w:r>
        <w:tab/>
        <w:t>wsparcie osób posiadających przygotowanie zawodowe uznane przez dyrektora szkoły lub placówki za odpowiednie do prowadzenia zajęć z zakresu kształcenia zawodowego w zakresie uzyskiwania uprawnień/kwalifikacji do nauczania zawodu, w zakresie odbywania staży/szkoleń branżowych,</w:t>
      </w:r>
      <w:r>
        <w:br/>
        <w:t>e)</w:t>
      </w:r>
      <w:r>
        <w:tab/>
        <w:t>dostosowanie szkół i realizowanego nauczania do specjalnych potrzeb edukacyjnych uczniów oraz do potrzeb nauczycieli z niepełnosprawnościami, w tym upowszechnienie modelu dostępnej szkoły;</w:t>
      </w:r>
      <w:r>
        <w:br/>
        <w:t>f)</w:t>
      </w:r>
      <w:r>
        <w:tab/>
        <w:t>organizację i realizację dodatkowej oferty dydaktycznej, przyczyniającej się do rozwoju kompetencji społeczno-emocjonalnych, umiejętności podstawowych, przekrojowych i zawodowych niezbędnych na rynku pracy, w tym kompetencji cyfrowych, zielonych oraz rozwijającej talenty i zainteresowania uczniów (w tym uczniów ze środowisk defaworyzowanych i zdolnych);</w:t>
      </w:r>
      <w:r>
        <w:br/>
        <w:t>g)</w:t>
      </w:r>
      <w:r>
        <w:tab/>
        <w:t>rozwój umiejętności uczniów poprzez wsparcie potencjału dydaktycznego szkół,</w:t>
      </w:r>
      <w:r>
        <w:br/>
        <w:t>h)</w:t>
      </w:r>
      <w:r>
        <w:tab/>
        <w:t>organizację i udzielanie pomocy psychologiczno-pedagogicznej dla uczniów (w tym realizację zajęć rewalidacyjnych), wsparcie rodziców/opiekunów prawnych uczniów i nauczycieli w zakresie stymulowania rozwoju ucznia oraz doskonalenia umiejętności wychowawczych, a także zwiększenie kompetencji kadr oświaty w zakresie zapobiegania przemocy i dyskryminacji;</w:t>
      </w:r>
      <w:r>
        <w:br/>
        <w:t>i)</w:t>
      </w:r>
      <w:r>
        <w:tab/>
        <w:t>doradztwo edukacyjno-zawodowe lub zawodowe dla uczniów (w tym indywidualne oraz na każdym etapie kształcenia zajęcia zawodoznawcze u pracodawców);</w:t>
      </w:r>
      <w:r>
        <w:br/>
        <w:t>j)</w:t>
      </w:r>
      <w:r>
        <w:tab/>
        <w:t>współpracę szkół ponadpodstawowych z uczelniami i pracodawcami, w szczególności organizację staży dla uczniów u pracodawców;</w:t>
      </w:r>
      <w:r>
        <w:br/>
        <w:t>k)</w:t>
      </w:r>
      <w:r>
        <w:tab/>
        <w:t>wsparcie uczniów szkół ponadpodstawowych w zakresie zdobywania dodatkowych uprawnień i kwalifikacji zwiększających ich szanse na rynku pracy, w tym kompetencji cyfrowych;</w:t>
      </w:r>
      <w:r>
        <w:br/>
        <w:t>l)</w:t>
      </w:r>
      <w:r>
        <w:tab/>
        <w:t>doskonalenie zawodowe nauczycieli, w tym w ramach szkoły ćwiczeń;</w:t>
      </w:r>
      <w:r>
        <w:br/>
        <w:t>m)</w:t>
      </w:r>
      <w:r>
        <w:tab/>
        <w:t>podnoszenie jakości systemu zarządzania szkołami i placówkami oświatowymi, w tym kompetencji kadry zarządzającej;</w:t>
      </w:r>
      <w:r>
        <w:br/>
        <w:t>n)</w:t>
      </w:r>
      <w:r>
        <w:tab/>
        <w:t>wdrażanie nowych, innowacyjnych form nauczania.</w:t>
      </w:r>
      <w:r>
        <w:br/>
      </w:r>
      <w:r>
        <w:br/>
        <w:t>Kluczowe warunki realizacji projektów:</w:t>
      </w:r>
      <w:r>
        <w:br/>
        <w:t>Każdorazowo do ogłoszonego naboru projektów Instytucja Organizująca Nabór określi szczegółowe zasady realizacji wsparcia w zakresie poszczególnych typów projektów.</w:t>
      </w:r>
      <w:r>
        <w:br/>
      </w:r>
      <w:r>
        <w:br/>
        <w:t>1.</w:t>
      </w:r>
      <w:r>
        <w:tab/>
        <w:t>Warunki realizacji typów 1-3 w zakresie wsparcia edukacji przedszkolnej zawarte są w opisie Działania 10.2.</w:t>
      </w:r>
      <w:r>
        <w:br/>
        <w:t>2.</w:t>
      </w:r>
      <w:r>
        <w:tab/>
        <w:t>Warunki realizacji typu 4 w zakresie wsparcia szkół kształcenia ogólnego zawarte są w opisie Działania 10.3.</w:t>
      </w:r>
      <w:r>
        <w:br/>
        <w:t>3.</w:t>
      </w:r>
      <w:r>
        <w:tab/>
        <w:t>Działania będą komplementarne z przedsięwzięciami na poziomie krajowym.</w:t>
      </w:r>
      <w:r>
        <w:br/>
        <w:t>4.</w:t>
      </w:r>
      <w:r>
        <w:tab/>
        <w:t>Warunki realizacji typu 5 w zakresie wsparcia szkół kształcenia zawodowego zawarte są w opisie Działania 10.4.</w:t>
      </w:r>
      <w:r>
        <w:br/>
        <w:t>5.     Przewidywane wsparcie z Budżetu Państwa w ramach środków określonych w Kontrakcie Programowym dla Województwa Lubelskiego i zgodnie z zał. 33.</w:t>
      </w:r>
    </w:p>
    <w:p w14:paraId="240F2E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E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E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E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E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E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E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E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E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E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240F2E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E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E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E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25</w:t>
      </w:r>
    </w:p>
    <w:p w14:paraId="240F2E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E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w:t>
      </w:r>
    </w:p>
    <w:p w14:paraId="240F2E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E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E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E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E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E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E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E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E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E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Służby publiczne, Zintegrowane Inwestycje Terytorialne (ZIT)</w:t>
      </w:r>
    </w:p>
    <w:p w14:paraId="240F2E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E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w wieku przedszkolnym (zgodnie z ustawą - Prawo oświatowe) i ich opiekunowie, dzieci w wieku przedszkolnym, uczniowie i ich rodzice/opiekunowie prawni z doświadczeniem migracji, instruktorzy praktycznej nauki zawodu, OWP (z wyłączeniem specjalnych), pracodawcy, przedstawiciele kadry OWP, przedstawiciele kadry szkół lub placówek kształcenia ogólnego, przedstawiciele kadry szkół lub placówek kształcenia zawodowego, przedszkola, oddziały przedszkolne w szkołach podstawowych i inne formy wychowania przedszkolnego z terenu regionu oraz ich kadra (w tym nauczyciele), rodzice lub opiekunowie, szkoły lub placówki kształcenia ogólnego (z wyłączeniem specjalnych), szkoły lub placówki kształcenia zawodowego (z wyłączeniem specjalnych), uczniowie lub słuchacze szkół lub placówek kształcenia zawodowego, uczniowie szkół i placówek podstawowych, uczniowie szkół i placówek ponadpodstawowych, uczniowie, ich rodzice i opiekunowie prawni oraz kadra (w tym nauczyciele) szkół specjalnych</w:t>
      </w:r>
    </w:p>
    <w:p w14:paraId="240F2E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E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edukacja, edukacja_włączająca, kadra_pedagogiczna, kompetencje, kwalifikacje, poradnie_psychologiczno_pedagogiczne, staże, szkoła, wychowanie_przedszkolne, Zintegrowane_Inwestycje_Terytorialne</w:t>
      </w:r>
    </w:p>
    <w:p w14:paraId="240F2E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E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E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E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WLWK-PLFCO02 - Liczba dofinansowanych miejsc wychowania przedszkolnego</w:t>
      </w:r>
    </w:p>
    <w:p w14:paraId="240F2E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WLWK-PLFCO09 - Liczba dzieci lub uczniów o specjalnych potrzebach rozwojowych i edukacyjnych, którzy zostali objęci usługami asystenta</w:t>
      </w:r>
    </w:p>
    <w:p w14:paraId="240F2E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WLWK-PLFCO01 - Liczba dzieci objętych dodatkowymi zajęciami w edukacji przedszkolnej</w:t>
      </w:r>
    </w:p>
    <w:p w14:paraId="240F2E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WLWK-PLFCO08 - Liczba dzieci/uczniów o specjalnych potrzebach rozwojowych i edukacyjnych, objętych wsparciem</w:t>
      </w:r>
    </w:p>
    <w:p w14:paraId="240F2E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WLWK-PLFCO11 - Liczba miejsc wychowania przedszkolnego dostosowanych do potrzeb dzieci z niepełnosprawnością</w:t>
      </w:r>
    </w:p>
    <w:p w14:paraId="240F2E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E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240F2E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E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E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WLWK-PLFCO12 - Liczba ogólnodostępnych szkół i placówek systemu oświaty objętych wsparciem w zakresie edukacji włączającej</w:t>
      </w:r>
    </w:p>
    <w:p w14:paraId="240F2E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E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E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E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F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F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F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WLWK-PLFCO14 - Liczba przedstawicieli kadr szkół i placówek systemu oświaty objętych wsparciem świadczonym przez szkoły ćwiczeń</w:t>
      </w:r>
    </w:p>
    <w:p w14:paraId="240F2F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240F2F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240F2F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WLWK-PLFCO04 - Liczba uczniów i słuchaczy szkół i placówek kształcenia zawodowego objętych wsparciem</w:t>
      </w:r>
    </w:p>
    <w:p w14:paraId="240F2F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WLWK-PLEFCO05 - Liczba uczniów szkół i placówek kształcenia zawodowego uczestniczących w stażach uczniowskich</w:t>
      </w:r>
    </w:p>
    <w:p w14:paraId="240F2F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WLWK-PLFCO03 - Liczba uczniów szkół i placówek systemu oświaty prowadzących kształcenie ogólne objętych wsparciem</w:t>
      </w:r>
    </w:p>
    <w:p w14:paraId="240F2F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WLWK-PLFCO13 - Liczba uczniów uczestniczących w doradztwie zawodowym</w:t>
      </w:r>
    </w:p>
    <w:p w14:paraId="240F2F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F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240F2F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WLWK-PLFCR01 - Liczba uczniów, którzy nabyli kwalifikacje po opuszczeniu programu</w:t>
      </w:r>
    </w:p>
    <w:p w14:paraId="240F2F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F0D"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6" w:name="_Toc241668250"/>
      <w:r>
        <w:rPr>
          <w:rFonts w:ascii="Calibri" w:hAnsi="Calibri" w:cs="Calibri"/>
          <w:sz w:val="32"/>
        </w:rPr>
        <w:t>Działanie FELU.10.06 Uczenie się osób dorosłych</w:t>
      </w:r>
      <w:bookmarkEnd w:id="86"/>
    </w:p>
    <w:p w14:paraId="240F2F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F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EFS+.CP4.G - 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p>
    <w:p w14:paraId="240F2F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F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48 075 109,00</w:t>
      </w:r>
    </w:p>
    <w:p w14:paraId="240F2F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F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41 573 910,00</w:t>
      </w:r>
    </w:p>
    <w:p w14:paraId="240F2F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F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151 - Wsparcie na rzecz kształcenia dorosłych (z wyłączeniem infrastruktury)</w:t>
      </w:r>
    </w:p>
    <w:p w14:paraId="240F2F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F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Wsparcie osób dorosłych w rozwoju i nabywaniu nowych umiejętności, kwalifikacji i kompetencji, w tym podniesienia kwalifikacji zawodowych, a także umiejętności podstawowych i przekrojowych oraz ich weryfikacja poprzez odpowiednie egzaminy poprzez m.in.:</w:t>
      </w:r>
      <w:r>
        <w:br/>
        <w:t>a)</w:t>
      </w:r>
      <w:r>
        <w:tab/>
        <w:t>usługi rozwojowe, w tym w zakresie kompetencji cyfrowych, w ramach PSF dla osób dorosłych, które chcą z własnej inicjatywy podnieść swoje umiejętności / kompetencje lub nabyć kwalifikacje (w tym włączone do ZRK), w tym wsparcie dla osób z najtrudniejszych grup docelowych - za pośrednictwem BUR,</w:t>
      </w:r>
      <w:r>
        <w:br/>
        <w:t>b)</w:t>
      </w:r>
      <w:r>
        <w:tab/>
        <w:t>podstawowe kompetencje, w tym cyfrowe dla grup wykluczonych cyfrowo (realizowane poza systemem BUR i PSF), umożliwiające wdrażanie Upskilling pathways.</w:t>
      </w:r>
      <w:r>
        <w:br/>
        <w:t>2.</w:t>
      </w:r>
      <w:r>
        <w:tab/>
        <w:t>Wsparcie jakości kształcenia i rozwoju elastycznego systemu podnoszenia kwalifikacji zawodowych, w tym realizowanych w trybie zdalnym.</w:t>
      </w:r>
      <w:r>
        <w:br/>
        <w:t>3.</w:t>
      </w:r>
      <w:r>
        <w:tab/>
        <w:t>Wsparcie lokalnych inicjatyw na rzecz kształcenia osób dorosłych (np. LOWE) np. poprzez tworzenie lokalnych punktów wsparcia kształcenia osób dorosłych, w tym służących aktywizacji osób starszych, osób o niskich kwalifikacjach, osób z niepełnosprawnościami.</w:t>
      </w:r>
      <w:r>
        <w:br/>
        <w:t>Kluczowe warunki realizacji projektów:</w:t>
      </w:r>
      <w:r>
        <w:br/>
        <w:t>Każdorazowo do ogłoszonego naboru projektów Instytucja Organizująca Nabór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w:t>
      </w:r>
      <w:r>
        <w:tab/>
        <w:t>Wsparcie osób dorosłych, które chcą z własnej inicjatywy podnieść swoje umiejętności/kompetencje lub nabyć kwalifikacje (w tym włączone do Zintegrowanego Rejestru Kwalifikacji), w tym w szczególności wsparcie osób z najtrudniejszych grup docelowych realizowane będzie w ramach usług rozwojowych w ramach Podmiotowego Systemu Finansowania (PSF) dla osób dorosłych za pośrednictwem Bazy Usług Rozwojowych (BUR) (typ 1a).</w:t>
      </w:r>
      <w:r>
        <w:br/>
        <w:t>4.</w:t>
      </w:r>
      <w:r>
        <w:tab/>
        <w:t>Osoby dorosłe zainteresowane podniesieniem swoich umiejętności lub kompetencji lub nabyciem kwalifikacji mają dostęp do dodatkowego wsparcia ze strony beneficjenta (operatora PSF) w zakresie co najmniej:</w:t>
      </w:r>
      <w:r>
        <w:br/>
        <w:t>a)</w:t>
      </w:r>
      <w:r>
        <w:tab/>
        <w:t>zbudowania motywacji do rozwoju umiejętności/kompetencji lub nabycia kwalifikacji;</w:t>
      </w:r>
      <w:r>
        <w:br/>
        <w:t>b)</w:t>
      </w:r>
      <w:r>
        <w:tab/>
        <w:t>wsparcia w analizie potrzeb rozwojowych, np. z wykorzystaniem modelu Bilansu Kompetencji;</w:t>
      </w:r>
      <w:r>
        <w:br/>
        <w:t>c)</w:t>
      </w:r>
      <w:r>
        <w:tab/>
        <w:t>wsparcia w wyborze odpowiednich usług rozwojowych w BUR;</w:t>
      </w:r>
      <w:r>
        <w:br/>
        <w:t>d)</w:t>
      </w:r>
      <w:r>
        <w:tab/>
        <w:t>identyfikacji nabytych umiejętności/kompetencji oraz wsparcia w ich walidacji i certyfikacji, w tym zachęcenie do założenia „Mojego portfolio” lub konta Europass (typ 1a).</w:t>
      </w:r>
      <w:r>
        <w:br/>
        <w:t>5. Szczegółowe zasady udzielania usług rozwojowych zostaną określone w Regulaminie wyboru projektów, w tym:</w:t>
      </w:r>
      <w:r>
        <w:br/>
        <w:t>- maksymalną kwotę dofinansowania pojedynczej usługi rozwojowej w przeliczeniu na jedną godzinę usługi dla jednej osoby dorosłej korzystającej ze wsparcia z własnej inicjatywy,</w:t>
      </w:r>
      <w:r>
        <w:br/>
        <w:t>- kwalifikowanie kosztów usługi rozwojowej,</w:t>
      </w:r>
      <w:r>
        <w:br/>
        <w:t>- obowiązki podmiotu pełniącego funkcje operatora w projekcie PSF.</w:t>
      </w:r>
      <w:r>
        <w:br/>
        <w:t>6.</w:t>
      </w:r>
      <w:r>
        <w:tab/>
        <w:t>W przypadku wspierania kompetencji cyfrowych, wykorzystany zostanie standard kompetencji cyfrowych na podstawie aktualnej na dzień ogłoszenia naboru wersji ramy „DigComp” (typ 1b).</w:t>
      </w:r>
      <w:r>
        <w:br/>
        <w:t>7.</w:t>
      </w:r>
      <w:r>
        <w:tab/>
        <w:t>Wsparcie dla osób o niskich umiejętnościach lub kompetencjach (w tym cyfrowych dla grup wykluczonych cyfrowo) realizowane będzie poza systemem BUR i PSF, umożliwiające wdrażanie Upskilling pathways (typ 1b).</w:t>
      </w:r>
      <w:r>
        <w:br/>
        <w:t>8.</w:t>
      </w:r>
      <w:r>
        <w:tab/>
        <w:t>Przedsięwzięcia umożliwiające wdrażanie Upskilling pathways stanowią element wdrożenia zalecenia Rady z dnia 19 grudnia 2016 r. w sprawie ścieżek poprawy umiejętności: nowe możliwości dla dorosłych, którego celem jest zaoferowanie osobom dorosłym o niskich umiejętnościach podstawowych dostępu do ścieżek poprawy tychże umiejętności, tj.:</w:t>
      </w:r>
      <w:r>
        <w:br/>
        <w:t>a)</w:t>
      </w:r>
      <w:r>
        <w:tab/>
        <w:t>możliwości przejścia oceny, np. audytu umiejętności, w celu określenia posiadanych umiejętności i potrzeb w zakresie ich poprawy, np. z wykorzystaniem modelu Bilansu Kompetencji, oraz</w:t>
      </w:r>
      <w:r>
        <w:br/>
        <w:t>b)</w:t>
      </w:r>
      <w:r>
        <w:tab/>
        <w:t>dopasowanych i elastycznych ofert uczenia się, zgodnych z wynikami audytu umiejętności, oraz</w:t>
      </w:r>
      <w:r>
        <w:br/>
        <w:t>c)</w:t>
      </w:r>
      <w:r>
        <w:tab/>
        <w:t>walidacji nabytych umiejętności podstawowych lub certyfikowania kwalifikacji, w tym zachęcenie do założenia „Mojego portfolio” lub konta Europass (typ 1b).</w:t>
      </w:r>
      <w:r>
        <w:br/>
        <w:t>9.</w:t>
      </w:r>
      <w:r>
        <w:tab/>
        <w:t>Przedsięwzięcia pozwalają na:</w:t>
      </w:r>
      <w:r>
        <w:br/>
        <w:t>a)</w:t>
      </w:r>
      <w:r>
        <w:tab/>
        <w:t xml:space="preserve">nabycie umiejętności podstawowych lub </w:t>
      </w:r>
      <w:r>
        <w:br/>
        <w:t>b)</w:t>
      </w:r>
      <w:r>
        <w:tab/>
        <w:t>osiągnięcie szerszego zestawu umiejętności, wiedzy i kompetencji, odpowiednich dla rynku pracy i aktywnego uczestnictwa w społeczeństwie, w oparciu o zalecenie 2006/962/WE w sprawie kluczowych kompetencji w procesie uczenia się przez całe życie, poprzez postępy w kierunku kwalifikacji na poziomie 3 lub 4 Europejskiej Ramy Kwalifikacji (typ 1b).</w:t>
      </w:r>
      <w:r>
        <w:br/>
        <w:t>10.</w:t>
      </w:r>
      <w:r>
        <w:tab/>
        <w:t>System, w ramach którego realizowane wsparcie (typ 1b):</w:t>
      </w:r>
      <w:r>
        <w:br/>
        <w:t>a)</w:t>
      </w:r>
      <w:r>
        <w:tab/>
        <w:t>wspiera zaangażowanie odpowiednich podmiotów publicznych i prywatnych w dziedzinie kształcenia i szkolenia, zatrudnienia, spraw społecznych, kultury i w innych odnośnych obszarach polityki,</w:t>
      </w:r>
      <w:r>
        <w:br/>
        <w:t>b)</w:t>
      </w:r>
      <w:r>
        <w:tab/>
        <w:t>zapewnia usługi z zakresu doradztwa lub mentoringu w celu wspierania postępów osób uczących się na wszystkich etapach procesu poprawy umiejętności,</w:t>
      </w:r>
      <w:r>
        <w:br/>
        <w:t>c)</w:t>
      </w:r>
      <w:r>
        <w:tab/>
        <w:t>wspiera kształcenie i ustawiczne doskonalenie zawodowe kadry zaangażowanej w realizację ścieżek poprawy umiejętności,</w:t>
      </w:r>
      <w:r>
        <w:br/>
        <w:t>d)</w:t>
      </w:r>
      <w:r>
        <w:tab/>
        <w:t xml:space="preserve">jest monitorowane. </w:t>
      </w:r>
      <w:r>
        <w:br/>
        <w:t>11.</w:t>
      </w:r>
      <w:r>
        <w:tab/>
        <w:t>Oferta uczenia się jest uzupełniona przez szeroko zakrojone działania związane z dotarciem do grupy docelowej oraz zmotywowaniem jej do skorzystania z pomocy (typ 1b).</w:t>
      </w:r>
      <w:r>
        <w:br/>
        <w:t>12.</w:t>
      </w:r>
      <w:r>
        <w:tab/>
        <w:t>Zakłada się realizację działania na rzecz rozwoju jakości nauczania (w tym dostępności dla osób z niepełnosprawnościami) w placówkach prowadzących kształcenie ustawiczne, współpracę z pracodawcami i uczelniami. Szczególny nacisk zostanie położony na rozwój innowacyjnych form i metod nauczania, w tym w zakresie edukacji zdalnej (typ 2).</w:t>
      </w:r>
      <w:r>
        <w:br/>
        <w:t>13.</w:t>
      </w:r>
      <w:r>
        <w:tab/>
        <w:t>Wsparcie lokalnych inicjatyw na rzecz kształcenia osób dorosłych realizowane będzie np. poprzez tworzenie lokalnych punktów wsparcia kształcenia osób dorosłych, których działania oparte zostaną o model „Lokalnych Ośrodków Wiedzy i Edukacji (LOWE), wypracowany w PO WER (typ 3).</w:t>
      </w:r>
      <w:r>
        <w:br/>
        <w:t>14.</w:t>
      </w:r>
      <w:r>
        <w:tab/>
        <w:t>Wsparcie uzyskają lokalne inicjatywy na rzecz kształcenia osób dorosłych, które powstaną przy szkole lub placówce systemu oświaty (typ 3).</w:t>
      </w:r>
      <w:r>
        <w:br/>
        <w:t>15.</w:t>
      </w:r>
      <w:r>
        <w:tab/>
        <w:t>Lokalne punkty wsparcia kształcenia osób dorosłych służące aktywizacji w szczególności osób starszych, osób o niskich kwalifikacjach, osób z niepełnosprawnościami będą miały m.in. na celu diagnozę potrzeb szkoleniowych osób dorosłych i dostosowanie form edukacji pod kątem ich adekwatności i elastyczności (typ 3).</w:t>
      </w:r>
      <w:r>
        <w:br/>
        <w:t>16.</w:t>
      </w:r>
      <w:r>
        <w:tab/>
        <w:t>Wszelkie działania podejmowane przez LOWE zostaną poprzedzone kompleksową oceną potrzeb osób dorosłych w zakresie umiejętności na danym obszarze, jako podstawą dla opracowywania treści ofert edukacyjnych (typ 3).</w:t>
      </w:r>
      <w:r>
        <w:br/>
        <w:t>17.</w:t>
      </w:r>
      <w:r>
        <w:tab/>
        <w:t>Każda inicjatywa będzie wspierana przez animatora, zgodnie z opracowanym modelem (typ 3).</w:t>
      </w:r>
      <w:r>
        <w:br/>
        <w:t>18.</w:t>
      </w:r>
      <w:r>
        <w:tab/>
        <w:t>Celem podejmowanych działań będzie (typ 3):</w:t>
      </w:r>
      <w:r>
        <w:br/>
        <w:t>a)</w:t>
      </w:r>
      <w:r>
        <w:tab/>
        <w:t>aktywizacja edukacyjna osób dorosłych, w szczególności z utrudnionym dostępem do odpowiadających na ich potrzeby ofert edukacyjnych, w otoczeniu szkół i placówek systemu oświaty do rozwijania swoich umiejętności i włączania się w życie społeczności lokalnej,</w:t>
      </w:r>
      <w:r>
        <w:br/>
        <w:t>b)</w:t>
      </w:r>
      <w:r>
        <w:tab/>
        <w:t>utrzymanie zaangażowania edukacyjnego osób dorosłych, przez dobór odpowiednich form i zakresu oferty edukacyjnej, dostosowanej do indywidualnych potrzeb i oczekiwań,</w:t>
      </w:r>
      <w:r>
        <w:br/>
        <w:t>c)</w:t>
      </w:r>
      <w:r>
        <w:tab/>
        <w:t>aktywizowanie instytucji i organizacji z otoczenia szkół i placówek na rzecz rozwoju umiejętności dorosłych w społeczności lokalnej.</w:t>
      </w:r>
      <w:r>
        <w:br/>
        <w:t>19.</w:t>
      </w:r>
      <w:r>
        <w:tab/>
        <w:t>Beneficjenci będą zobowiązani do włączenia się w ogólnopolską sieć, która będzie rozwijana i koordynowana przez ministra właściwego do spraw oświaty i wychowania w ramach FERS, a także będą współpracować z lokalnymi Klubami Rozwoju Cyfrowego, tworzonymi w FERS (typ 3).</w:t>
      </w:r>
      <w:r>
        <w:br/>
        <w:t>20.</w:t>
      </w:r>
      <w:r>
        <w:tab/>
        <w:t xml:space="preserve"> W przypadku tworzenia materiałów (w tym e-materiałów), aplikacji, narzędzi informatycznych, nie będą one powielały już istniejących i planowanych do stworzenia na poziomie krajowym materiałów, aplikacji i narzędzi. Wypracowane w ramach RP e-materiały spełniają standardy techniczne ZPE (aktualne na dzień ogłoszenia naboru), tak aby była możliwość ich publikacji na ZPE (typ 1-3).</w:t>
      </w:r>
      <w:r>
        <w:br/>
        <w:t>21.</w:t>
      </w:r>
      <w:r>
        <w:tab/>
        <w:t xml:space="preserve">Interwencja zakłada realizację działań na rzecz uczenia się przez całe życie w szczególności na rzecz osób starszych, osób o niskich kwalifikacjach oraz osób z niepełnosprawnościami (typ 1-3). </w:t>
      </w:r>
      <w:r>
        <w:br/>
        <w:t>22.</w:t>
      </w:r>
      <w:r>
        <w:tab/>
        <w:t>Wartość wydatków w ramach cross -financingu stanowi nie więcej niż:</w:t>
      </w:r>
      <w:r>
        <w:br/>
        <w:t>a) typ 1- 0 % finansowania UE,</w:t>
      </w:r>
      <w:r>
        <w:br/>
        <w:t>b) typ 2- 15 % finansowania UE,</w:t>
      </w:r>
      <w:r>
        <w:br/>
        <w:t>c) typ 3- 25 % finansowania UE.</w:t>
      </w:r>
      <w:r>
        <w:br/>
        <w:t>23. Przewidywane wsparcie z Budżetu Państwa w ramach środków określonych w Kontrakcie Programowym dla Województwa Lubelskiego i zgodnie z zał. 33.</w:t>
      </w:r>
    </w:p>
    <w:p w14:paraId="240F2F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F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F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F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F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F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F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F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F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F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2F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F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F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F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25</w:t>
      </w:r>
    </w:p>
    <w:p w14:paraId="240F2F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F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(typ 1, 3), 5% (typ 2), w przypadku państwowych jednostek budżetowych: 5%</w:t>
      </w:r>
    </w:p>
    <w:p w14:paraId="240F2F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F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F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F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F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F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F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F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F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F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 Organizacje społeczne i związki wyznaniowe, Przedsiębiorstwa</w:t>
      </w:r>
    </w:p>
    <w:p w14:paraId="240F2F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F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dorosłe o niskich umiejętnościach lub kompetencjach podstawowych, osoby dorosłe, które z własnej inicjatywy chcą nabywać kompetencje lub kwalifikacje, podmioty tworzące lokalne punkty wsparcia kształcenia osób dorosłych, podmioty uprawnione do prowadzenia kształcenia ustawicznego z terenu regionu oraz ich kadra (w tym nauczyciele)</w:t>
      </w:r>
    </w:p>
    <w:p w14:paraId="240F2F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F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dokształcanie, edukacja, kompetencje, kształcenie_dorosłych, kwalifikacje, upskilling_pathways</w:t>
      </w:r>
    </w:p>
    <w:p w14:paraId="240F2F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F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F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F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F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F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F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F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F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WLWK-PLGCO01 - Liczba osób dorosłych objętych usługami rozwojowymi</w:t>
      </w:r>
    </w:p>
    <w:p w14:paraId="240F2F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WLWK-PLGCO03 - Liczba osób dorosłych objętych wsparciem w zakresie umiejętności lub kompetencji podstawowych, realizowanym poza Bazą Usług Rozwojowych </w:t>
      </w:r>
    </w:p>
    <w:p w14:paraId="240F2F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F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F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F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F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F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WLWK-PLGCO02 - Liczba podmiotów przygotowanych do pełnienia funkcji lokalnego ośrodka kształcenia osób dorosłych</w:t>
      </w:r>
    </w:p>
    <w:p w14:paraId="240F2F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F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PROG-FELCO04 - Liczba osób, którym udzielono ochrony czasowej w związku z wojną w Ukrainie, objętych wsparciem w programie</w:t>
      </w:r>
    </w:p>
    <w:p w14:paraId="240F2F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PROG-FELCO28 - Liczba podmiotów objętych wsparciem w celu zwiększania jakości kształcenia i rozwoju elastycznego systemu podnoszenia kwalifikacji zawodowych</w:t>
      </w:r>
    </w:p>
    <w:p w14:paraId="240F2F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F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WLWK-PLGCR01 - Liczba osób, które uzyskały kwalifikacje cyfrowe po opuszczeniu programu</w:t>
      </w:r>
    </w:p>
    <w:p w14:paraId="240F2F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2F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WLWK-PLDGCR04 - Liczba osób, które uzyskały zielone kwalifikacje po opuszczeniu programu</w:t>
      </w:r>
    </w:p>
    <w:p w14:paraId="240F2F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PROG-FELCR20 - Liczba podmiotów, które podniosły jakość i rozwinęły elastyczny system podnoszenia kwalifikacji zawodowych</w:t>
      </w:r>
    </w:p>
    <w:p w14:paraId="240F2F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F4F"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7" w:name="_Toc241668251"/>
      <w:r>
        <w:rPr>
          <w:rFonts w:ascii="Calibri" w:hAnsi="Calibri" w:cs="Calibri"/>
          <w:sz w:val="32"/>
        </w:rPr>
        <w:t>Działanie FELU.10.07 Budowanie potencjału organizacji społeczeństwa obywatelskiego w obszarze edukacji</w:t>
      </w:r>
      <w:bookmarkEnd w:id="87"/>
    </w:p>
    <w:p w14:paraId="240F2F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F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240F2F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F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1 568 339,00</w:t>
      </w:r>
    </w:p>
    <w:p w14:paraId="240F2F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F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1 363 824,00</w:t>
      </w:r>
    </w:p>
    <w:p w14:paraId="240F2F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F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148 - Wsparcie na rzecz wczesnej edukacji i opieki nad dzieckiem (z wyłączeniem infrastruktury), 149 - Wsparcie na rzecz szkolnictwa podstawowego i średniego (z wyłączeniem infrastruktury)</w:t>
      </w:r>
    </w:p>
    <w:p w14:paraId="240F2F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F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 Budowanie zdolności organizacji społeczeństwa obywatelskiego w zakresie działań wspierających edukację.</w:t>
      </w:r>
      <w:r>
        <w:br/>
        <w:t>Kluczowe warunki realizacji projektów:</w:t>
      </w:r>
      <w:r>
        <w:br/>
        <w:t>Każdorazowo do ogłoszonego naboru projektów Instytucja Organizująca Nabór określi szczegółowe zasady realizacji wsparcia w zakresie realizowanego typu projektu.</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2)</w:t>
      </w:r>
      <w:r>
        <w:tab/>
        <w:t xml:space="preserve">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 </w:t>
      </w:r>
      <w:r>
        <w:br/>
        <w:t xml:space="preserve">3) </w:t>
      </w:r>
      <w:r>
        <w:tab/>
        <w:t>Wnioskodawcami mogą być wyłącznie podmioty spełniające definicję organizacji społeczeństwa obywatelskiego wskazany w Wytycznych dotyczących realizacji zasady partnerstwa na lata 2021-2027.</w:t>
      </w:r>
      <w:r>
        <w:br/>
        <w:t>4)</w:t>
      </w:r>
      <w:r>
        <w:tab/>
        <w:t xml:space="preserve">Działania w projekcie mają na celu zwiększenie potencjału Beneficjenta lub partnerów (jeśli dotyczy) w projekcie. </w:t>
      </w:r>
      <w:r>
        <w:br/>
        <w:t>5)</w:t>
      </w:r>
      <w:r>
        <w:tab/>
        <w:t>Przewidywane wsparcie z Budżetu Państwa w ramach środków określonych w Kontrakcie Programowym dla Województwa Lubelskiego i zgodnie z zał. 33.</w:t>
      </w:r>
    </w:p>
    <w:p w14:paraId="240F2F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F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F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F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F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F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2F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F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2F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F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240F2F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F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F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F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F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F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w:t>
      </w:r>
    </w:p>
    <w:p w14:paraId="240F2F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2F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F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2F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2F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F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F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F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2F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F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społeczne i związki wyznaniowe</w:t>
      </w:r>
    </w:p>
    <w:p w14:paraId="240F2F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F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społeczeństwa obywatelskiego</w:t>
      </w:r>
    </w:p>
    <w:p w14:paraId="240F2F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F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dialog_obywatelski</w:t>
      </w:r>
    </w:p>
    <w:p w14:paraId="240F2F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F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F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F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2F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2F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2F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WLWK-PL0CO05 - Liczba organizacji społeczeństwa obywatelskiego wspartych w co najmniej jednym z następujących obszarów: standardy i procedury zarządzania, refleksyjność, wydolność finansowa, rzecznictwo, jakość usług, współpraca międzysektorowa</w:t>
      </w:r>
    </w:p>
    <w:p w14:paraId="240F2F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WLWK-PL0CO06 - Liczba organizacji społeczeństwa obywatelskiego wspartych w zakresie wdrażania nowych metod działania lub rodzajów usług</w:t>
      </w:r>
    </w:p>
    <w:p w14:paraId="240F2F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2F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2F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2F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2F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2F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2F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WLWK-PL0CO07 - Liczba przedstawicieli organizacji społeczeństwa obywatelskiego (w tym wolontariuszy) objętych wsparciem w programie</w:t>
      </w:r>
    </w:p>
    <w:p w14:paraId="240F2F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F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WLWK-PL0CR02 - Liczba organizacji społeczeństwa obywatelskiego, które poprawiły lub wprowadziły nowe metody działania lub rodzaje usług</w:t>
      </w:r>
    </w:p>
    <w:p w14:paraId="240F2F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WLWK-PL0CR01 - Liczba organizacji społeczeństwa obywatelskiego, które zwiększyły swój potencjał organizacyjny w co najmniej jednym z następujących obszarów: standardy i procedury zarządzania, refleksyjność, wydolność finansowa, rzecznictwo, jakość usług, współpraca międzysektorowa</w:t>
      </w:r>
    </w:p>
    <w:p w14:paraId="240F2F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WLWK-PL0CR03 - Liczba przedstawicieli organizacji społeczeństwa obywatelskiego, którzy zdobyli nowe umiejętności, wiedzę lub uzyskali kwalifikacje</w:t>
      </w:r>
    </w:p>
    <w:p w14:paraId="240F2F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2F8C"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88" w:name="_Toc241668252"/>
      <w:r>
        <w:rPr>
          <w:rFonts w:ascii="Calibri" w:hAnsi="Calibri" w:cs="Calibri"/>
          <w:i w:val="0"/>
          <w:sz w:val="32"/>
        </w:rPr>
        <w:t>Priorytet FELU.11 Rozwój zrównoważony terytorialnie</w:t>
      </w:r>
      <w:bookmarkEnd w:id="88"/>
    </w:p>
    <w:p w14:paraId="240F2F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2F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2F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2F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2F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2F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CP5 - Europa bliższa obywatelom dzięki wspieraniu zrównoważonego i zintegrowanego rozwoju wszystkich rodzajów terytoriów oraz inicjatyw lokalnych</w:t>
      </w:r>
    </w:p>
    <w:p w14:paraId="240F2F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2F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2F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2F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237 845 364,00</w:t>
      </w:r>
    </w:p>
    <w:p w14:paraId="240F2F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2F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225 953 095,00</w:t>
      </w:r>
    </w:p>
    <w:p w14:paraId="240F2F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2F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2F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F9C"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9" w:name="_Toc241668253"/>
      <w:r>
        <w:rPr>
          <w:rFonts w:ascii="Calibri" w:hAnsi="Calibri" w:cs="Calibri"/>
          <w:sz w:val="32"/>
        </w:rPr>
        <w:t>Działanie FELU.11.01 Rewitalizacja zdegradowanych obszarów miejskich</w:t>
      </w:r>
      <w:bookmarkEnd w:id="89"/>
    </w:p>
    <w:p w14:paraId="240F2F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F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 - Wspieranie zintegrowanego i sprzyjającego włączeniu społecznemu rozwoju społecznego, gospodarczego i środowiskowego, kultury, dziedzictwa naturalnego, zrównoważonej turystyki i bezpieczeństwa na obszarach miejskich</w:t>
      </w:r>
    </w:p>
    <w:p w14:paraId="240F2F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F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85 630 084,00</w:t>
      </w:r>
    </w:p>
    <w:p w14:paraId="240F2F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F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81 348 579,00</w:t>
      </w:r>
    </w:p>
    <w:p w14:paraId="240F2F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F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079 - Ochrona przyrody i różnorodności biologicznej, dziedzictwo naturalne i zasoby naturalne, zielona i niebieska infrastruktura, 127 - Pozostała infrastruktura społeczna przyczyniająca się do włączenia społecznego, 128 - Infrastruktura zdrowotna, 165 - Ochrona, rozwój i promowanie publicznych walorów turystycznych i usług turystycznych, 166 - Ochrona, rozwój i promowanie dziedzictwa kulturowego i usług w dziedzinie kultury, 167 - Ochrona, rozwój i promowanie dziedzictwa naturalnego i ekoturystyki poza obszarami Natura 2000, 168 - Fizyczna odnowa i bezpieczeństwo przestrzeni publicznych, 172 - Finansowanie krzyżowe w ramach EFRR (wsparcie dla działań typowych dla EFS+ koniecznych do wdrożenia części operacji objętej EFRR i bezpośrednio z nią związanych)</w:t>
      </w:r>
    </w:p>
    <w:p w14:paraId="240F2F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F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Rewitalizacja obszarów zdegradowanych, realizowana na podstawie GPR.</w:t>
      </w:r>
      <w:r>
        <w:br/>
        <w:t>Kluczowe warunki realizacji projektów:</w:t>
      </w:r>
      <w:r>
        <w:br/>
        <w:t>1.</w:t>
      </w:r>
      <w:r>
        <w:tab/>
        <w:t>Wsparcie ukierunkowane zostanie w szczególności na:</w:t>
      </w:r>
      <w:r>
        <w:br/>
        <w:t>a)</w:t>
      </w:r>
      <w:r>
        <w:tab/>
        <w:t>Przebudowę, rozbudowę lub modernizację zdegradowanych budynków, w tym m.in. budynków poprzemysłowych, powojskowych w celu przywrócenia lub nadania im nowych funkcji użytkowych, np. społecznych, gospodarczych, turystycznych lub kulturalnych wraz z zagospodarowaniem terenu funkcjonalnie związanego z obiektem. Za zdegradowany budynek uznać należy obiekt wyłączony z użytkowania z uwagi na stan techniczny lub niespełniający warunków technicznych umożliwiających jego użytkowanie. Za zdegradowany można też uznać obiekt, który w wyniku długiego użytkowania utracił parametry racjonalnych kosztów eksploatacji (np. awaryjność sieci wewnętrznych budynku, niedostateczne parametry termoizolacyjności) lub nie spełnia zmienionych w międzyczasie wymogów funkcjonalnych stawianych tego typu obiektom,</w:t>
      </w:r>
      <w:r>
        <w:br/>
        <w:t>b)</w:t>
      </w:r>
      <w:r>
        <w:tab/>
        <w:t>Roboty restauratorskie i konserwatorskie budynków znajdujących się w rejestrze zabytków, budynków położonych w strefie ochrony konserwatorskiej oraz budynków o wartości architektonicznej i znaczeniu historycznym nie będących w rejestrze zabytków i ich wyposażenia niezbędnego dla wprowadzenia funkcji, jaką będzie pełnić budynek po realizacji projektu w celu przywrócenia lub nadania im nowych funkcji użytkowych, np. społecznych, gospodarczych, turystycznych lub kulturalnych wraz z zagospodarowaniem terenu funkcjonalnie związanego z obiektem,</w:t>
      </w:r>
      <w:r>
        <w:br/>
        <w:t>c)</w:t>
      </w:r>
      <w:r>
        <w:tab/>
        <w:t>Uporządkowanie i zagospodarowanie zdegradowanych przestrzeni publicznych (przebudowa lub modernizacja) w celu przywrócenia lub nadania im nowych funkcji użytkowych, np. społecznych, gospodarczych, turystycznych lub kulturalnych wyłącznie jako element zapewniający spójność kompleksowych projektów rewitalizacyjnych,</w:t>
      </w:r>
      <w:r>
        <w:br/>
        <w:t>d)</w:t>
      </w:r>
      <w:r>
        <w:tab/>
        <w:t>Zakup wyposażenia - wyłącznie jako element projektów dotyczących adaptacji budynków na cele np. gospodarcze, społeczne, turystyczne lub kulturalne i bezpośrednio związanego z funkcją, jaką będzie pełnić będzie budynek po realizacji projektu.</w:t>
      </w:r>
      <w:r>
        <w:br/>
        <w:t>Wysokość wydatków na zakup wyposażenia nie może przekroczyć 20% kosztów kwalifikowanych.</w:t>
      </w:r>
      <w:r>
        <w:br/>
        <w:t>e)</w:t>
      </w:r>
      <w:r>
        <w:tab/>
        <w:t>Roboty budowlane i modernizacyjne infrastruktury technicznej (wodno-kanalizacyjna, ciepłownicza, elektryczna (w tym oświetlenie), telekomunikacyjna oraz infrastruktura z zakresu gospodarki odpadami) - wyłącznie jako element zapewniający spójność kompleksowych projektów rewitalizacyjnych. Wydatki na zewnętrzną infrastrukturę techniczną nie mogą przekroczyć 25% kosztów kwalifikowalnych projektu,</w:t>
      </w:r>
      <w:r>
        <w:br/>
        <w:t>f)</w:t>
      </w:r>
      <w:r>
        <w:tab/>
        <w:t xml:space="preserve">Rozwój miejskich terenów zielonych - wyłącznie jako element zapewniający spójność kompleksowych projektów rewitalizacyjnych, </w:t>
      </w:r>
      <w:r>
        <w:br/>
        <w:t>g)</w:t>
      </w:r>
      <w:r>
        <w:tab/>
        <w:t>Przebudowę lub modernizację budynków w celu adaptacji na działalność przedsiębiorstw, w tym przedsiębiorstw społecznych wraz z zakupem wyposażenia niezbędnego do prowadzenia niniejszej działalności,</w:t>
      </w:r>
      <w:r>
        <w:br/>
        <w:t>h)</w:t>
      </w:r>
      <w:r>
        <w:tab/>
        <w:t>Fizyczną odnowę i bezpieczeństwo przestrzeni publicznych, tj. w szczególności: zwiększanie odporności lokalnej gospodarki, w tym infrastruktury, na nieprzewidziane sytuacje kryzysowe,</w:t>
      </w:r>
      <w:r>
        <w:br/>
        <w:t>i)</w:t>
      </w:r>
      <w:r>
        <w:tab/>
        <w:t>Rozwój powiązany z przywróceniem lub nadaniem nowych funkcji użytkowych, infrastruktury publicznej w celu poprawy wykorzystania walorów gminy uzdrowiskowej,</w:t>
      </w:r>
      <w:r>
        <w:br/>
        <w:t>j)</w:t>
      </w:r>
      <w:r>
        <w:tab/>
        <w:t>Rozwój infrastruktury i wyposażenia podmiotów świadczących usługi sanatoryjne i/lub uzdrowiskowe na terenie gmin uzdrowiskowych oraz obszarów ochrony uzdrowiskowej.</w:t>
      </w:r>
      <w:r>
        <w:br/>
        <w:t>Inwestycje w zakresie rozwoju infrastruktury i wyposażenia podmiotów świadczących usługi sanatoryjne i/lub uzdrowiskowe muszą być związane z przywróceniem lub nadaniem nowych funkcji użytkowych,</w:t>
      </w:r>
      <w:r>
        <w:br/>
        <w:t>2.</w:t>
      </w:r>
      <w:r>
        <w:tab/>
        <w:t>Szczegółowe zasady kwalifikowalności wydatków określone zostaną w Regulaminie wyboru projektów.</w:t>
      </w:r>
      <w:r>
        <w:br/>
        <w:t>3.</w:t>
      </w:r>
      <w:r>
        <w:tab/>
        <w:t>Do dofinansowania kwalifikują się wyłącznie przedsięwzięcia ujęte na liście podstawowej GPR, który został pozytywnie zaopiniowany przez IZ i umieszczony na wykazie prowadzonym przez IZ.</w:t>
      </w:r>
      <w:r>
        <w:br/>
        <w:t>4.</w:t>
      </w:r>
      <w:r>
        <w:tab/>
        <w:t>Preferowane będą projekty realizowane na obszarze rewitalizacji.</w:t>
      </w:r>
      <w:r>
        <w:br/>
        <w:t>5.</w:t>
      </w:r>
      <w:r>
        <w:tab/>
        <w:t>W ramach rewitalizacji realizacja działań inwestycyjnych będzie uzależniona od potrzeb społecznych mieszkańców obszaru rewitalizacji poprzez powiązanie działań infrastrukturalnych z działaniami nieinfrastrukturalnymi, w szczególności współfinansowanymi z EFS+.</w:t>
      </w:r>
      <w:r>
        <w:br/>
        <w:t>6.</w:t>
      </w:r>
      <w:r>
        <w:tab/>
        <w:t>W ramach Działania przewidziano wsparcie działań społecznych koniecznych do wdrożenia części infrastrukturalnej objętej EFRR i bezpośrednio z nią związanych. Wartość kosztów kwalifikowalnych niniejszych zadań nie może przekroczyć 15% współfinansowania unijnego projektu. Wydatki nie mogą dotyczyć wsparcia organizacji wydarzeń ujętych w planie działalności w okresie trwałości projektu.</w:t>
      </w:r>
      <w:r>
        <w:br/>
        <w:t>7.</w:t>
      </w:r>
      <w:r>
        <w:tab/>
        <w:t xml:space="preserve">Inwestycje w elementy infrastruktury drogowej (w tym w parkingi) nie będą wspierane w ramach rewitalizacji, chyba że stanowią nieodłączny element większego projektu, nie są one dominującym elementem tego projektu a ich koszt nie przekracza 15% kosztów kwalifikowalnych projektu. Projekty te nie mogą obejmować budowy nowych dróg lub parkingów oraz w odniesieniu do istniejących - zwiększenia ich pojemności lub przepustowości, ani nie mogą w żaden inny sposób przyczyniać się do zwiększenia natężenia ruchu samochodowego. Ograniczeniu temu podlegają wszelkie parkingi, w tym parkingi będące powierzchniami utwardzonymi, budowlami/budynkami. </w:t>
      </w:r>
      <w:r>
        <w:br/>
        <w:t>8.</w:t>
      </w:r>
      <w:r>
        <w:tab/>
        <w:t>Realizowane inwestycje w drogi publiczne, bez względu na kategorię drogi, po zakończeniu realizacji inwestycji, muszą zapewnić wymóg nośności drogi wynoszącej minimum 11,5 t na oś.</w:t>
      </w:r>
      <w:r>
        <w:br/>
        <w:t>9.</w:t>
      </w:r>
      <w:r>
        <w:tab/>
        <w:t xml:space="preserve">Należy szczególnie zadbać o zachowanie i rozwój zielonej infrastruktury, zwłaszcza ochronę drzew, w całym cyklu projektowym, w tym poprzez stosowanie standardów ochrony zieleni, zwiększanie powierzchni biologicznie czynnych, unikanie tworzenia powierzchni uszczelnionych. </w:t>
      </w:r>
      <w:r>
        <w:br/>
        <w:t>10.</w:t>
      </w:r>
      <w:r>
        <w:tab/>
        <w:t>Działania mające na celu poprawę dostępności do usług społecznych będą musiały wykazać zgodność ze strategią deinstytucjonalizacji. Inwestycje infrastrukturalne w placówki świadczące całodobową opiekę długoterminową w instytucjonalnych formach są niedozwolone.</w:t>
      </w:r>
      <w:r>
        <w:br/>
        <w:t>11.</w:t>
      </w:r>
      <w:r>
        <w:tab/>
        <w:t>Przedsięwzięcia infrastrukturalne w sektorze kultury ukierunkowane będą na rozwijanie aktywności społecznej m.in. poprzez tworzenie/adaptację/ dostosowanie budynków i przestrzeni do realizacji oferty kulturalno-edukacyjnej, rozwój innowacji społecznych.</w:t>
      </w:r>
      <w:r>
        <w:br/>
        <w:t>12.</w:t>
      </w:r>
      <w:r>
        <w:tab/>
        <w:t>Co do zasady wsparcie w sektorze kultury nie będzie obejmować budowy nowych obiektów. Wyjątek od powyższej zasady dotyczy odtworzenia zabudowy zdegradowanej w stopniu uniemożliwiającym jej regenerację/renowację (zastąpienie starego budynku nowym). W takim przypadku, wnioskodawca zobowiązany będzie do przedstawienia wiarygodnych analiz potwierdzających, iż stopień zdegradowania budynku uniemożliwia jego regenerację/renowację, w tym analiz potwierdzających efektywność kosztową takiego rozwiązania. Za wiarygodną analizę uznana będzie ekspertyza techniczna wykonana przez osobę posiadającą tytuł rzeczoznawcy budowlanego nadany przez właściwy organ samorządu zawodowego.</w:t>
      </w:r>
      <w:r>
        <w:br/>
        <w:t>13.</w:t>
      </w:r>
      <w:r>
        <w:tab/>
        <w:t>Wsparcie rozwoju turystyki, co do zasady nie będzie obejmować budowy nowych obiektów budowlanych, które są budynkami. Wyjątkiem są projekty, których celowość realizacji wynika z diagnozy obszaru rewitalizacji i jest potwierdzona analizami wskazującymi na niedostępność lub brak możliwości wykorzystania istniejących budynków.</w:t>
      </w:r>
      <w:r>
        <w:br/>
        <w:t>14.</w:t>
      </w:r>
      <w:r>
        <w:tab/>
        <w:t>Wsparcie rozwoju turystyki będzie skierowane na projekty turystyczne, które są wspierane odpowiednią analizą popytu i oceną potrzeb w celu ograniczenia ryzyka nieefektywności, są skoordynowane z projektami w sąsiednich obszarach, unikając nakładania się i konkurencji oraz mają wpływ wykraczający poza sam projekt na stymulowanie aktywności turystycznej w regionie, jak również są trwałe i będą utrzymywane po ich zakończeniu.</w:t>
      </w:r>
      <w:r>
        <w:br/>
        <w:t>15.</w:t>
      </w:r>
      <w:r>
        <w:tab/>
        <w:t>Zgodnie z rekomendacjami zawartymi w raporcie ETO 08/2020 oraz 27/2021 r. inwestycje w kulturę i turystykę będą respektować zasadę zrównoważonego oddziaływania na środowisko, potrzebę rozwoju cyfrowego, zasadę dostępności dla osób ze specjalnymi potrzebami, zasadę stabilności i efektywności finansowej (możliwość utrzymania się w długofalowej perspektywie) oraz odporności na kryzys (stosując innowacyjne rozwiązania, dywersyfikację przychodów i usług, digitalizację).</w:t>
      </w:r>
      <w:r>
        <w:br/>
        <w:t>16.</w:t>
      </w:r>
      <w:r>
        <w:tab/>
        <w:t>Ze wsparcia wyłączone są budynki/pomieszczenia w których prowadzona jest działalność administracyjno-biurowa organów administracji publicznej.</w:t>
      </w:r>
      <w:r>
        <w:br/>
        <w:t>17.</w:t>
      </w:r>
      <w:r>
        <w:tab/>
        <w:t xml:space="preserve">Wsparcie w ramach Działania nie może być udzielone w zakresie, w jakim jest wykluczone w art. 1 ust. 2 - 5 Rozporządzenia Komisji (UE) NR 651/2014 z dnia 17 czerwca 2014 r. oraz w art. 1 ust. 1 Rozporządzenia Komisji (UE) nr 2023/2831 z dnia 13 grudnia 2023 r.  </w:t>
      </w:r>
      <w:r>
        <w:br/>
        <w:t>18.</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19.</w:t>
      </w:r>
      <w:r>
        <w:tab/>
        <w:t>Zastosowane będą preferencje dla działań rewitalizacyjnych na obszarach miast średnich tracących funkcje społeczno- gospodarcze zdelimitowanych w KSRR2030 oraz dla przedsięwzięć zgodnych z założeniami inicjatywy Nowy Europejski Bauhaus.</w:t>
      </w:r>
      <w:r>
        <w:br/>
        <w:t>20.</w:t>
      </w:r>
      <w:r>
        <w:tab/>
        <w:t xml:space="preserve">Inwestycje o komercyjnym charakterze, w szczególności wsparcie kierowane do przedsiębiorstw jako bezpośrednich beneficjentów oraz rentowne inwestycje podmiotów świadczących usługi sanatoryjne i/lub uzdrowiskowe nie będą wspierane. Inwestycje w zakresie zewnętrznego oświetlenia będą finansowane, o ile nie będą stanowić dominującego elementu projektu. </w:t>
      </w:r>
      <w:r>
        <w:br/>
        <w:t xml:space="preserve">21. Przewidywane wsparcie z Budżetu Państwa w ramach środków określonych w Kontrakcie Programowym dla Województwa Lubelskiego. </w:t>
      </w:r>
    </w:p>
    <w:p w14:paraId="240F2F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F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F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F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2F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F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F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F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 Rozporządzenie Ministra Funduszy i Polityki Regionalnej z dnia 24 sierpnia 2023 r. w sprawie udzielania pomocy inwestycyjnej na infrastrukturę sportową i wielofunkcyjną infrastrukturę rekreacyjną w ramach regionalnych programów na lata 2021–2027 (Dz.U. 2023 poz. 1818), Rozporządzenie Ministra Funduszy i Polityki Regionalnej z dnia 7 sierpnia 2023 r. w sprawie udzielania pomocy inwestycyjnej na kulturę i zachowanie dziedzictwa kulturowego w ramach regionalnych programów na lata 2021–2027 (Dz.U. 2023 poz. 1678)</w:t>
      </w:r>
    </w:p>
    <w:p w14:paraId="240F2F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F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F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F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F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F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F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F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1% - projekty współfinansowane z Budżetu Państwa; Projekty w części objętej pomocą publiczną: zgodnie z programami pomocy publicznej</w:t>
      </w:r>
    </w:p>
    <w:p w14:paraId="240F2F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F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2F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F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240F2F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2F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Organizacje społeczne i związki wyznaniowe, Partnerstwa, Przedsiębiorstwa, Przedsiębiorstwa realizujące cele publiczne, Służby publiczne</w:t>
      </w:r>
    </w:p>
    <w:p w14:paraId="240F2F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2F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mieszkańcy zdegradowanych obszarów w miastach, środowiska lub lokalne społeczności zagrożonych ubóstwem lub wykluczeniem społecznym w szczególności lokalne społeczności na obszarach zdegradowanych, w tym objętych rewitalizacją</w:t>
      </w:r>
    </w:p>
    <w:p w14:paraId="240F2F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2F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 kultura, obszar_rewitalizacji, rewitalizacja, tereny_zdegradowane, tożsamość_lokalna, turystyka, uzdrowiska, włączenie_społeczne, zrownoważony_rozwój</w:t>
      </w:r>
    </w:p>
    <w:p w14:paraId="240F2F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2F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2F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2F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2F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2F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WLWK-PLRO141 - Liczba instytucji kultury objętych wsparciem</w:t>
      </w:r>
    </w:p>
    <w:p w14:paraId="240F2F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2F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240F2F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2F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WLWK-PLRO147 - Liczba wspartych budynków mieszkalnych zlokalizowanych na rewitalizowanych obszarach</w:t>
      </w:r>
    </w:p>
    <w:p w14:paraId="240F2F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2F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2F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2F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WLWK-PLRO148 - Liczba wspartych obiektów infrastruktury (innych niż budynki mieszkalne) zlokalizowanych na rewitalizowanych obszarach</w:t>
      </w:r>
    </w:p>
    <w:p w14:paraId="240F2F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2F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WLWK-PLRO231 - Liczba wspartych urządzeń lecznictwa uzdrowiskowego </w:t>
      </w:r>
    </w:p>
    <w:p w14:paraId="240F2F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WLWK-PLRO230 - Liczba zakładów lecznictwa uzdrowiskowego objęta projektem</w:t>
      </w:r>
    </w:p>
    <w:p w14:paraId="240F2F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2F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240F2F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WLWK-RCO112 - Podmioty zaangażowane w przygotowanie i realizację strategii zintegrowanego rozwoju terytorialnego</w:t>
      </w:r>
    </w:p>
    <w:p w14:paraId="240F2F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WLWK-PLRO146 - Powierzchnia obszarów objętych rewitalizacją</w:t>
      </w:r>
    </w:p>
    <w:p w14:paraId="240F2F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240F2F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2F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WLWK-RCO076 - Zintegrowane projekty rozwoju terytorialnego</w:t>
      </w:r>
    </w:p>
    <w:p w14:paraId="240F2F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2F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WLWK-PLRR048 - Liczba ludności zamieszkującej obszar rewitalizacji</w:t>
      </w:r>
    </w:p>
    <w:p w14:paraId="240F2F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240F2F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WLWK-PLRR049 - Liczba przedsiębiorstw ulokowanych na zrewitalizowanych obszarach</w:t>
      </w:r>
    </w:p>
    <w:p w14:paraId="240F2F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240F2F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240F2F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2FE0"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90" w:name="_Toc241668254"/>
      <w:r>
        <w:rPr>
          <w:rFonts w:ascii="Calibri" w:hAnsi="Calibri" w:cs="Calibri"/>
          <w:sz w:val="32"/>
        </w:rPr>
        <w:t>Działanie FELU.11.02 Ochrona dziedzictwa naturalnego, bezpieczeństwo i zrównoważony rozwój turystyki obszarów miejskich i ich obszarów funkcjonalnych w ramach Zintegrowanych Inwestycji Terytorialnych</w:t>
      </w:r>
      <w:bookmarkEnd w:id="90"/>
    </w:p>
    <w:p w14:paraId="240F2F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2F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 - Wspieranie zintegrowanego i sprzyjającego włączeniu społecznemu rozwoju społecznego, gospodarczego i środowiskowego, kultury, dziedzictwa naturalnego, zrównoważonej turystyki i bezpieczeństwa na obszarach miejskich</w:t>
      </w:r>
    </w:p>
    <w:p w14:paraId="240F2F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2F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28 405 142,00</w:t>
      </w:r>
    </w:p>
    <w:p w14:paraId="240F2F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2F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26 984 885,00</w:t>
      </w:r>
    </w:p>
    <w:p w14:paraId="240F2F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2F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020 - Infrastruktura biznesowa dla MŚP (w tym parki i obiekty przemysłowe), 128 - Infrastruktura zdrowotna, 165 - Ochrona, rozwój i promowanie publicznych walorów turystycznych i usług turystycznych, 167 - Ochrona, rozwój i promowanie dziedzictwa naturalnego i ekoturystyki poza obszarami Natura 2000, 168 - Fizyczna odnowa i bezpieczeństwo przestrzeni publicznych, 172 - Finansowanie krzyżowe w ramach EFRR (wsparcie dla działań typowych dla EFS+ koniecznych do wdrożenia części operacji objętej EFRR i bezpośrednio z nią związanych)</w:t>
      </w:r>
    </w:p>
    <w:p w14:paraId="240F2F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2F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Rozwój obszarów o wysokich walorach przyrodniczych i krajobrazowych, jak też opartych o właściwości uzdrowiskowe i walory kulturowe (poza obszarami Natura 2000) stanowiące o ich potencjale, w tym m.in. o wysokiej atrakcyjności turystycznej.</w:t>
      </w:r>
      <w:r>
        <w:br/>
        <w:t>2.</w:t>
      </w:r>
      <w:r>
        <w:tab/>
        <w:t>Fizyczna odnowa i bezpieczeństwo przestrzeni publicznych, tj. w szczególności: zwiększanie odporności lokalnej gospodarki, w tym infrastruktury, na nieprzewidziane sytuacje kryzysowe.</w:t>
      </w:r>
      <w:r>
        <w:br/>
        <w:t>3.</w:t>
      </w:r>
      <w:r>
        <w:tab/>
        <w:t>Przygotowanie terenów inwestycyjnych i zapewnienie infrastruktury biznesowej lub poprawa infrastruktury istniejących terenów, w powiązaniu z innymi projektami inwestycyjnymi.</w:t>
      </w:r>
      <w:r>
        <w:br/>
        <w:t>Kluczowe warunki realizacji projektów:</w:t>
      </w:r>
      <w:r>
        <w:br/>
        <w:t>Wsparcie w ramach typu 1 ukierunkowane zostanie w szczególności na działania dotyczące:</w:t>
      </w:r>
      <w:r>
        <w:br/>
        <w:t>a)</w:t>
      </w:r>
      <w:r>
        <w:tab/>
        <w:t>budowy i rozwoju infrastruktury turystycznej i zagospodarowania turystycznego, w tym:</w:t>
      </w:r>
      <w:r>
        <w:br/>
        <w:t>•</w:t>
      </w:r>
      <w:r>
        <w:tab/>
        <w:t xml:space="preserve">infrastruktura zlokalizowana wokół istniejących zbiorników wodnych, np. kąpieliska, plaże, pomosty, mola, przystanie wodne, </w:t>
      </w:r>
      <w:r>
        <w:br/>
        <w:t>•</w:t>
      </w:r>
      <w:r>
        <w:tab/>
        <w:t xml:space="preserve">bulwary, promenady, </w:t>
      </w:r>
      <w:r>
        <w:br/>
        <w:t>•</w:t>
      </w:r>
      <w:r>
        <w:tab/>
        <w:t xml:space="preserve">zintegrowane szlaki turystyczne, ścieżki rowerowe, ścieżki edukacyjne, </w:t>
      </w:r>
      <w:r>
        <w:br/>
        <w:t>•</w:t>
      </w:r>
      <w:r>
        <w:tab/>
        <w:t xml:space="preserve">punkty widokowe, wieże widokowe, </w:t>
      </w:r>
      <w:r>
        <w:br/>
        <w:t>•</w:t>
      </w:r>
      <w:r>
        <w:tab/>
        <w:t xml:space="preserve">szlaki narciarskie, spływy kajakowe, itp., </w:t>
      </w:r>
      <w:r>
        <w:br/>
        <w:t>•</w:t>
      </w:r>
      <w:r>
        <w:tab/>
        <w:t xml:space="preserve">wsparcia rozwoju centrów/ punktów informacji kulturalnej oraz turystycznej, </w:t>
      </w:r>
      <w:r>
        <w:br/>
        <w:t>•</w:t>
      </w:r>
      <w:r>
        <w:tab/>
        <w:t xml:space="preserve">renowacji, modernizacji, ochrony i rozwoju infrastruktury zabytkowej w celu podniesienia jej atrakcyjności turystycznej, </w:t>
      </w:r>
      <w:r>
        <w:br/>
        <w:t>•</w:t>
      </w:r>
      <w:r>
        <w:tab/>
        <w:t>rewitalizacja dolin rzecznych i zbiorników wodnych celem rozwoju turystyki i tworzenia miejsc wypoczynku na tych obszarach wraz zapewnieniem dostępności obiektów, w tym dla osób z niepełnosprawnościami,</w:t>
      </w:r>
      <w:r>
        <w:br/>
        <w:t>b)</w:t>
      </w:r>
      <w:r>
        <w:tab/>
        <w:t>obiektów dziedzictwa naturalnego wraz z zagospodarowaniem terenów wokół (m.in. mała architektura, tereny zielone, ścieżki piesze i pieszo-rowerowe), tj. m.in.:</w:t>
      </w:r>
      <w:r>
        <w:br/>
        <w:t>•</w:t>
      </w:r>
      <w:r>
        <w:tab/>
        <w:t xml:space="preserve">odbudowa, modernizacja i wyposażenie obiektów dziedzictwa naturalnego wraz z wyposażeniem oraz budowa lub remont towarzyszącej infrastruktury oraz zagospodarowanie terenów wokół obiektów dziedzictwa naturalnego, </w:t>
      </w:r>
      <w:r>
        <w:br/>
        <w:t>•</w:t>
      </w:r>
      <w:r>
        <w:tab/>
        <w:t>kompleksowe zagospodarowanie terenów zielonych - tworzenie nowych „zielonych” miejsc wypoczynku dla mieszkańców,</w:t>
      </w:r>
      <w:r>
        <w:br/>
        <w:t>•</w:t>
      </w:r>
      <w:r>
        <w:tab/>
        <w:t>wsparcie projektów z zakresu zagospodarowania terenów zielonych, ochrony dziedzictwa naturalnego i rozwoju turystyki na obszarze uzdrowisk.</w:t>
      </w:r>
      <w:r>
        <w:br/>
        <w:t>c)</w:t>
      </w:r>
      <w:r>
        <w:tab/>
        <w:t>tworzenia sieciowych produktów turystycznych,</w:t>
      </w:r>
      <w:r>
        <w:br/>
        <w:t>d)</w:t>
      </w:r>
      <w:r>
        <w:tab/>
        <w:t>dywersyfikacji produktów turystycznych, zrównoważonej turystyki mające na celu zwiększanie zatrudnienia i stworzenie wysokiej jakości miejsc pracy.</w:t>
      </w:r>
      <w:r>
        <w:br/>
        <w:t>e)</w:t>
      </w:r>
      <w:r>
        <w:tab/>
        <w:t>rozwoju infrastruktury publicznej w celu poprawy wykorzystania walorów gminy uzdrowiskowej.</w:t>
      </w:r>
      <w:r>
        <w:br/>
        <w:t>Wsparcie w ramach typu 3 ukierunkowane zostanie w szczególności na działania obejmujące:</w:t>
      </w:r>
      <w:r>
        <w:br/>
        <w:t>a)</w:t>
      </w:r>
      <w:r>
        <w:tab/>
        <w:t>uzbrojenie w media (infrastruktura wodno-kanalizacyjna, telekomunikacyjna, energetyczna, ciepłownicza),</w:t>
      </w:r>
      <w:r>
        <w:br/>
        <w:t>b)</w:t>
      </w:r>
      <w:r>
        <w:tab/>
        <w:t>budowę, modernizacje, adaptację budynków na cele gospodarcze,</w:t>
      </w:r>
      <w:r>
        <w:br/>
        <w:t>c)</w:t>
      </w:r>
      <w:r>
        <w:tab/>
        <w:t>budowę lub modernizację wewnętrznego układu komunikacyjnego – wyłącznie jako element projektu,</w:t>
      </w:r>
      <w:r>
        <w:br/>
        <w:t>d)</w:t>
      </w:r>
      <w:r>
        <w:tab/>
        <w:t>prace studyjno-koncepcyjne i badania geotechniczne – wyłącznie jako element projektu,</w:t>
      </w:r>
      <w:r>
        <w:br/>
        <w:t>Ad.1</w:t>
      </w:r>
      <w:r>
        <w:br/>
        <w:t>-</w:t>
      </w:r>
      <w:r>
        <w:tab/>
        <w:t>Wsparcie rozwoju turystyki, co do zasady nie będzie obejmować działań na rzecz budowy nowych obiektów budowlanych, które są budynkami. Wyjątkiem są projekty, których celowość realizacji wynika z diagnozy obszaru współpracy partnerstwa JST i jest potwierdzona analizami wskazującymi na niedostępność lub brak możliwości wykorzystania istniejących budynków.</w:t>
      </w:r>
      <w:r>
        <w:br/>
        <w:t>-</w:t>
      </w:r>
      <w:r>
        <w:tab/>
        <w:t>Wsparcie będzie skierowane na projekty turystyczne, które są wspierane odpowiednią analizą popytu i oceną potrzeb w celu ograniczenia ryzyka nieefektywności, są skoordynowane z projektami w sąsiednich obszarach, unikając nakładania się i konkurencji oraz mają wpływ wykraczający poza sam projekt na stymulowanie aktywności turystycznej w regionie, jak również są trwałe i będą utrzymywane po ich zakończeniu.</w:t>
      </w:r>
      <w:r>
        <w:br/>
        <w:t>-</w:t>
      </w:r>
      <w:r>
        <w:tab/>
        <w:t>Zgodnie z rekomendacjami zawartymi w raporcie ETO 08/2020 oraz 27/2021 r. inwestycje w kulturę i turystykę będą respektować zasadę zrównoważonego oddziaływania na środowisko, potrzebę rozwoju cyfrowego, zasadę dostępności dla osób ze specjalnymi potrzebami, zasadę stabilności i efektywności finansowej (możliwość utrzymania się w długofalowej perspektywie) oraz odporności na kryzys (stosując innowacyjne rozwiązania, dywersyfikację przychodów i usług, digitalizację).</w:t>
      </w:r>
      <w:r>
        <w:br/>
        <w:t>- Możliwa jest realizacja projektów z zakresu ochrony, rozwoju i promowania publicznych walorów turystycznych i usług turystycznych na obszarach Natura 2000 pod warunkiem ich powiązania i podporządkowania działaniom związanym z ochroną przyrody (zgodność z planami ochrony/planami zadań ochronnych). Projekty budowy i rozwoju infrastruktury turystycznej powinny przyczyniać się do ukierunkowania ruchu turystycznego na terenie obszarów chronionych i cennych przyrodniczo. Inwestycje oparte o właściwości uzdrowiskowe i walory kulturowe na obszarach Natura 2000 nie będą wspierane.</w:t>
      </w:r>
      <w:r>
        <w:br/>
        <w:t>Ad.3:</w:t>
      </w:r>
      <w:r>
        <w:br/>
        <w:t>-</w:t>
      </w:r>
      <w:r>
        <w:tab/>
        <w:t>Projekty z zakresu wsparcia terenów inwestycyjnych muszą być realizowane w powiązaniu z innymi projektami inwestycyjnymi, zidentyfikowanymi w Strategii terytorialnej będącej podstawą realizacji ZIT.</w:t>
      </w:r>
      <w:r>
        <w:br/>
        <w:t xml:space="preserve">- Teren, którego dotyczy projekt musi być przeznaczony w miejscowym planie zagospodarowania przestrzennego (lub innym równoważnym dokumencie, o którym mowa w art. 4 pkt 2 Ustawy z dnia 27 marca 2003 r. o planowaniu i zagospodarowaniu przestrzennym pod działalność gospodarczą, zarówno produkcyjną jak i usługową. </w:t>
      </w:r>
      <w:r>
        <w:br/>
        <w:t>-</w:t>
      </w:r>
      <w:r>
        <w:tab/>
        <w:t>Teren, którego dotyczy projekt, nie może być przeznaczony wyłącznie pod wielkopowierzchniowe obiekty handlowe.</w:t>
      </w:r>
      <w:r>
        <w:br/>
        <w:t>-</w:t>
      </w:r>
      <w:r>
        <w:tab/>
        <w:t>Teren, którego dotyczy projekt nie może być przeznaczony pod inwestycje mieszkaniowe, tereny sportu oraz tereny zabudowy zagrodowej w gospodarstwach rolnych, hodowlanych i ogrodniczych.</w:t>
      </w:r>
      <w:r>
        <w:br/>
        <w:t>Ogólne warunki realizacji dla wszystkich typów projektów:</w:t>
      </w:r>
      <w:r>
        <w:br/>
        <w:t>1.</w:t>
      </w:r>
      <w:r>
        <w:tab/>
        <w:t>Szczegółowe zasady kwalifikowalności wydatków określone zostaną w Regulaminie wyboru projektów.</w:t>
      </w:r>
      <w:r>
        <w:br/>
        <w:t>2.</w:t>
      </w:r>
      <w:r>
        <w:tab/>
        <w:t>Realizowane przedsięwzięcia muszą zostać zidentyfikowane w strategii terytorialnej będącej podstawą realizacji Zintegrowanych Inwestycji Terytorialnych, pozytywnie zaopiniowanej pod kątem możliwości jej finansowania w ramach Programu, przez IZ.</w:t>
      </w:r>
      <w:r>
        <w:br/>
        <w:t>3.</w:t>
      </w:r>
      <w:r>
        <w:tab/>
        <w:t>Realizowane inwestycje muszą mieć charakter zintegrowany, tj. muszą wpisywać się w cele rozwoju obszaru funkcjonalnego objętego instrumentem i być ukierunkowane na rozwiązywanie wspólnych problemów rozwojowych – oznacza to, że projekt taki musi mieć wpływ na więcej niż 1 gminę w MOF oraz jego realizacja musi być uzasadniona zarówno w części diagnostycznej, jak i w części kierunkowej strategii. Inwestycje te muszą spełniać jeden z następujących warunków: muszą być projektem partnerskim w rozumieniu art. 39 ustawy wdrożeniowej lub deklarowany powinien być wspólny efekt, rezultat lub produkt końcowy projektu, tj. wspólne wykorzystanie stworzonej w jego ramach infrastruktury.</w:t>
      </w:r>
      <w:r>
        <w:br/>
        <w:t>4.</w:t>
      </w:r>
      <w:r>
        <w:tab/>
        <w:t>Inwestycje w elementy infrastruktury drogowej (w tym w parkingi) mogą być wspierane pod warunkiem, że stanowią nieodłączny element większego projektu, nie są one dominującym elementem tego projektu a ich koszt nie przekracza 15% kosztów kwalifikowalnych projektu. W miastach projekty te nie mogą obejmować budowy nowych dróg lub parkingów oraz w odniesieniu do istniejących - zwiększenia ich pojemności lub przepustowości, ani nie mogą w żaden inny sposób przyczyniać się do zwiększenia natężenia ruchu samochodowego. Ograniczeniu temu podlegają wszelkie parkingi, w tym parkingi będące powierzchniami utwardzonymi, budowlami/budynkami.</w:t>
      </w:r>
      <w:r>
        <w:br/>
        <w:t>5.</w:t>
      </w:r>
      <w:r>
        <w:tab/>
        <w:t>Realizowane inwestycje w drogi publiczne, bez względu na kategorię drogi, po zakończeniu realizacji inwestycji, muszą zapewnić wymóg nośności drogi wynoszącej minimum 11,5 t na oś.</w:t>
      </w:r>
      <w:r>
        <w:br/>
        <w:t>6.</w:t>
      </w:r>
      <w:r>
        <w:tab/>
        <w:t>W ramach Działania przewidziano wsparcie działań społecznych obejmujących m.in. inwestycje na rzecz aktywnego włączenia społecznego. Wartość kosztów kwalifikowalnych niniejszych zadań nie może przekroczyć 15% współfinansowania unijnego projektu.</w:t>
      </w:r>
      <w:r>
        <w:br/>
        <w:t>7.</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8.</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9.</w:t>
      </w:r>
      <w:r>
        <w:tab/>
        <w:t>W ramach Działania niekwalifikowane są inwestycje o komercyjnym charakterze, w szczególności wsparcie kierowane do przedsiębiorstw jako bezpośrednich beneficjentów. Inwestycje w zakresie zewnętrznego oświetlenia będą finansowane, o ile nie będą stanowić dominującego elementu projektu.</w:t>
      </w:r>
    </w:p>
    <w:p w14:paraId="240F2F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2F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F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2F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2F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2F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2F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2F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2F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2F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2F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2F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2F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2F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2F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2F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2F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2F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2F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2F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2F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0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Przedsiębiorstwa realizujące cele publiczne, Służby publiczne, Zintegrowane Inwestycje Terytorialne (ZIT)</w:t>
      </w:r>
    </w:p>
    <w:p w14:paraId="240F30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0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30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0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doliny_rzeczne, dostępność, park_krajobrazowy, przystanie_wodne, rezerwat_przyrody, ścieżki_rowerowe, trasy_turystyczne, turystyka, uzdrowiska, Zintegrowane_Inwestycje_Terytorialne</w:t>
      </w:r>
    </w:p>
    <w:p w14:paraId="240F30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0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30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0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0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0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WLWK-PLRO136 - Długość odnowionych szlaków turystycznych</w:t>
      </w:r>
    </w:p>
    <w:p w14:paraId="240F30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WLWK-PLRO137 - Długość utworzonych szlaków turystycznych</w:t>
      </w:r>
    </w:p>
    <w:p w14:paraId="240F30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WLWK-PLRO163 - Liczba nowych inwestorów</w:t>
      </w:r>
    </w:p>
    <w:p w14:paraId="240F30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30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240F30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30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WLWK-PLRO143 - Liczba utworzonych punktów informacji turystycznej i infokiosków zapewniających obsługę w min. 2 językach obcych</w:t>
      </w:r>
    </w:p>
    <w:p w14:paraId="240F30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WLWK-PLRO144 - Liczba wspartych obiektów w miejscach dziedzictwa naturalnego</w:t>
      </w:r>
    </w:p>
    <w:p w14:paraId="240F30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30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240F30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WLWK-RCO112 - Podmioty zaangażowane w przygotowanie i realizację strategii zintegrowanego rozwoju terytorialnego</w:t>
      </w:r>
    </w:p>
    <w:p w14:paraId="240F30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WLWK-PLRO145 - Powierzchnia przygotowanych terenów inwestycyjnych</w:t>
      </w:r>
    </w:p>
    <w:p w14:paraId="240F30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30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WLWK-RCO076 - Zintegrowane projekty rozwoju terytorialnego</w:t>
      </w:r>
    </w:p>
    <w:p w14:paraId="240F30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0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WLWK-PLRR037 - Liczba inwestycji zlokalizowanych na przygotowanych terenach inwestycyjnych</w:t>
      </w:r>
    </w:p>
    <w:p w14:paraId="240F30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240F30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240F30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01D"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91" w:name="_Toc241668255"/>
      <w:r>
        <w:rPr>
          <w:rFonts w:ascii="Calibri" w:hAnsi="Calibri" w:cs="Calibri"/>
          <w:sz w:val="32"/>
        </w:rPr>
        <w:t>Działanie FELU.11.03 Ochrona dziedzictwa kulturowego obszarów miejskich i ich obszarów funkcjonalnych w ramach Zintegrowanych Inwestycji Terytorialnych</w:t>
      </w:r>
      <w:bookmarkEnd w:id="91"/>
    </w:p>
    <w:p w14:paraId="240F30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0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 - Wspieranie zintegrowanego i sprzyjającego włączeniu społecznemu rozwoju społecznego, gospodarczego i środowiskowego, kultury, dziedzictwa naturalnego, zrównoważonej turystyki i bezpieczeństwa na obszarach miejskich</w:t>
      </w:r>
    </w:p>
    <w:p w14:paraId="240F30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0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13 302 753,00</w:t>
      </w:r>
    </w:p>
    <w:p w14:paraId="240F30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0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12 637 615,00</w:t>
      </w:r>
    </w:p>
    <w:p w14:paraId="240F30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0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166 - Ochrona, rozwój i promowanie dziedzictwa kulturowego i usług w dziedzinie kultury, 172 - Finansowanie krzyżowe w ramach EFRR (wsparcie dla działań typowych dla EFS+ koniecznych do wdrożenia części operacji objętej EFRR i bezpośrednio z nią związanych)</w:t>
      </w:r>
    </w:p>
    <w:p w14:paraId="240F30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0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Ochrona, rozwój i promowanie materialnego i niematerialnego dziedzictwa kulturowego i usług w dziedzinie kultury.</w:t>
      </w:r>
      <w:r>
        <w:br/>
        <w:t>Kluczowe warunki realizacji projektów:</w:t>
      </w:r>
      <w:r>
        <w:br/>
        <w:t>1.</w:t>
      </w:r>
      <w:r>
        <w:tab/>
        <w:t>Wsparcie ukierunkowane zostanie w szczególności na działania obejmujące:</w:t>
      </w:r>
      <w:r>
        <w:br/>
        <w:t>a)</w:t>
      </w:r>
      <w:r>
        <w:tab/>
        <w:t>roboty budowlane i modernizacyjne dotyczące zabytków i zespołów zabytkowych wraz z otoczeniem (m.in. mała architektura, tereny zielone, ścieżki piesze) oraz obiektów infrastruktury kultury,</w:t>
      </w:r>
      <w:r>
        <w:br/>
        <w:t>b)</w:t>
      </w:r>
      <w:r>
        <w:tab/>
        <w:t>tworzenie, rozwój i udostępnianie oraz promocja parków kulturowych i szlaków kulturowych,</w:t>
      </w:r>
      <w:r>
        <w:br/>
        <w:t>c)</w:t>
      </w:r>
      <w:r>
        <w:tab/>
        <w:t>zachowanie, upowszechnianie i ochronę dziedzictwa niematerialnego,</w:t>
      </w:r>
      <w:r>
        <w:br/>
        <w:t>d)</w:t>
      </w:r>
      <w:r>
        <w:tab/>
        <w:t>działania na rzecz ochrony zabytków ruchomych (wyłącznie jako element projektów), tj.m.in.: konserwacja muzealiów, starodruków, archiwaliów, księgozbiorów oraz innych zabytków ruchomych wraz z dostosowaniem pomieszczeń do właściwego eksponowania i przechowywania zbiorów, ich zabezpieczenia i utrzymania właściwych warunków termicznych (klimatyzacja, urządzenia do sterowania wilgotnością i ogrzewania) oraz zakupem wyposażenia,</w:t>
      </w:r>
      <w:r>
        <w:br/>
        <w:t>e)</w:t>
      </w:r>
      <w:r>
        <w:tab/>
        <w:t>digitalizację dóbr kultury.</w:t>
      </w:r>
      <w:r>
        <w:br/>
        <w:t>2.</w:t>
      </w:r>
      <w:r>
        <w:tab/>
        <w:t>Szczegółowe zasady kwalifikowalności wydatków określone zostaną w Regulaminie wyboru projektów.</w:t>
      </w:r>
      <w:r>
        <w:br/>
        <w:t>3.</w:t>
      </w:r>
      <w:r>
        <w:tab/>
        <w:t>Realizowane przedsięwzięcia muszą zostać zidentyfikowane w strategii terytorialnej będącej podstawą realizacji Zintegrowanych Inwestycji Terytorialnej, pozytywnie zaopiniowanej pod kątem możliwości jej finansowania w ramach Programu, przez IZ.</w:t>
      </w:r>
      <w:r>
        <w:br/>
        <w:t>4.</w:t>
      </w:r>
      <w:r>
        <w:tab/>
        <w:t>Realizowane inwestycje muszą mieć charakter zintegrowany, tj. muszą wpisywać się w cele rozwoju obszaru funkcjonalnego objętego instrumentem i być ukierunkowane na rozwiązywanie wspólnych problemów rozwojowych – oznacza to, że projekt taki musi mieć wpływ na więcej niż 1 gminę w MOF oraz jego realizacja musi być uzasadniona zarówno w części diagnostycznej, jak i w części kierunkowej strategii. Inwestycje te muszą spełniać jeden z następujących warunków: muszą być projektem partnerskim w rozumieniu art. 39 ustawy wdrożeniowej lub deklarowany powinien być wspólny efekt, rezultat lub produkt końcowy projektu, tj. wspólne wykorzystanie stworzonej w jego ramach infrastruktury.</w:t>
      </w:r>
      <w:r>
        <w:br/>
        <w:t>5.</w:t>
      </w:r>
      <w:r>
        <w:tab/>
        <w:t>Przedsięwzięcia infrastrukturalne w sektorze kultury ukierunkowane będą na rozwijanie aktywności społecznej m.in. poprzez tworzenie/adaptację/ dostosowanie budynków i przestrzeni do realizacji oferty kulturalno-edukacyjnej, rozwój innowacji społecznych.</w:t>
      </w:r>
      <w:r>
        <w:br/>
        <w:t>6.</w:t>
      </w:r>
      <w:r>
        <w:tab/>
        <w:t>Renowacja, konserwacja, rewaloryzacja i restauracja obiektów zabytkowych (w tym pomników) nie może być pojedynczą interwencją, tylko musi stanowić część większego przedsięwzięcia, które wiąże rozwój kultury z rozwojem gospodarczym, włączeniem społecznym i innowacjami społecznymi w skali regionu lub lokalnej.</w:t>
      </w:r>
      <w:r>
        <w:br/>
        <w:t>7.</w:t>
      </w:r>
      <w:r>
        <w:tab/>
        <w:t>Co do zasady wsparcie w sektorze kultury nie będzie obejmować budowy nowych obiektów. Taki rodzaj interwencji będzie dozwolony jedynie w wyjątkowych i należycie uzasadnionych przypadkach. Wyjątek od powyższej zasady dotyczy odtworzenia zabudowy zdegradowanej w stopniu uniemożliwiającym jej regenerację/renowację (zastąpienie starego budynku nowym). W takim przypadku, wnioskodawca zobowiązany będzie do przedstawienia wiarygodnych analiz potwierdzających, iż stopień zdegradowania budynku uniemożliwia jego regenerację/renowację, w tym analiz potwierdzających efektywność kosztową takiego rozwiązania. Za wiarygodną analizę uznana będzie ekspertyza techniczna wykonana przez osobę posiadającą tytuł rzeczoznawcy budowlanego nadany przez właściwy organ samorządu zawodowego.</w:t>
      </w:r>
      <w:r>
        <w:br/>
        <w:t>8.</w:t>
      </w:r>
      <w:r>
        <w:tab/>
        <w:t>Zgodnie z rekomendacjami zawartymi w raporcie ETO 08/2020 oraz 27/2021 r. inwestycje w kulturę i turystykę będą respektować zasadę zrównoważonego oddziaływania na środowisko, potrzebę rozwoju cyfrowego, zasadę dostępności dla osób ze specjalnymi potrzebami, zasadę stabilności i efektywności finansowej (możliwość utrzymania się w długofalowej perspektywie) oraz odporności na kryzys (stosując innowacyjne rozwiązania, dywersyfikację przychodów i usług, digitalizację).</w:t>
      </w:r>
      <w:r>
        <w:br/>
        <w:t>9.</w:t>
      </w:r>
      <w:r>
        <w:tab/>
        <w:t>W ramach Działania przewidziano wsparcie działań społecznych obejmujących m.in. inwestycje na rzecz aktywnego włączenia społecznego. Wartość kosztów kwalifikowalnych niniejszych zadań nie może przekroczyć 15% współfinansowania unijnego projektu.</w:t>
      </w:r>
      <w:r>
        <w:br/>
        <w:t>10.</w:t>
      </w:r>
      <w:r>
        <w:tab/>
        <w:t>Inwestycje w elementy infrastruktury drogowej (w tym w parkingi) mogą być wspierane pod warunkiem, że stanowią nieodłączny element większego projektu, nie są one dominującym elementem tego projektu a ich koszt nie przekracza 15% kosztów kwalifikowalnych projektu. W miastach projekty te nie mogą obejmować budowy nowych dróg lub parkingów oraz w odniesieniu do istniejących - zwiększenia ich pojemności lub przepustowości, ani nie mogą w żaden inny sposób przyczyniać się do zwiększenia natężenia ruchu samochodowego. Ograniczeniu temu podlegają wszelkie parkingi, w tym parkingi będące powierzchniami utwardzonymi, budowlami/budynkami.</w:t>
      </w:r>
      <w:r>
        <w:br/>
        <w:t>11.</w:t>
      </w:r>
      <w:r>
        <w:tab/>
        <w:t>Realizowane inwestycje w drogi publiczne, bez względu na kategorię drogi, po zakończeniu realizacji inwestycji, muszą zapewnić wymóg nośności drogi wynoszącej minimum 11,5 t na oś.</w:t>
      </w:r>
      <w:r>
        <w:br/>
        <w:t>12.</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13.</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14.</w:t>
      </w:r>
      <w:r>
        <w:tab/>
        <w:t>W ramach Działania niekwalifikowane są inwestycje o komercyjnym charakterze, w szczególności wsparcie kierowane do przedsiębiorstw jako bezpośrednich beneficjentów. Inwestycje w zakresie zewnętrznego oświetlenia będą finansowane, o ile nie będą stanowić dominującego elementu projektu.</w:t>
      </w:r>
      <w:r>
        <w:br/>
        <w:t xml:space="preserve">15.  Zakup wyposażenia - wyłącznie jako element projektów dotyczących adaptacji budynków na cele kulturalne i bezpośrednio związanego z funkcją, jaką będzie pełnić budynek po realizacji projektu. </w:t>
      </w:r>
    </w:p>
    <w:p w14:paraId="240F30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0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0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0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0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0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30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0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240F30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0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30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0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0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0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0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0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30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0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30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0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40F30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0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Przedsiębiorstwa realizujące cele publiczne, Służby publiczne, Zintegrowane Inwestycje Terytorialne (ZIT)</w:t>
      </w:r>
    </w:p>
    <w:p w14:paraId="240F30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0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miast i ich obszarów funkcjonalnych</w:t>
      </w:r>
    </w:p>
    <w:p w14:paraId="240F30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0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dziedzictwo_kulturowe, instytucja_kultury, kultura, muzeum, ochrona_zabytków, teatr, włączenie_społeczne, zabytki, Zintegrowane_Inwestycje_Terytorialne</w:t>
      </w:r>
    </w:p>
    <w:p w14:paraId="240F30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0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30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0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0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0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WLWK-PLRO141 - Liczba instytucji kultury objętych wsparciem</w:t>
      </w:r>
    </w:p>
    <w:p w14:paraId="240F30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30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240F30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30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WLWK-PLRO143 - Liczba utworzonych punktów informacji turystycznej i infokiosków zapewniających obsługę w min. 2 językach obcych</w:t>
      </w:r>
    </w:p>
    <w:p w14:paraId="240F30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WLWK-PLRO140 - Liczba wspartych obiektów o charakterze niezabytkowym</w:t>
      </w:r>
    </w:p>
    <w:p w14:paraId="240F30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WLWK-PLRO139 - Liczba zabytków nieruchomych objętych wsparciem</w:t>
      </w:r>
    </w:p>
    <w:p w14:paraId="240F30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WLWK-PLRO138 - Liczba zabytków ruchomych objętych wsparciem</w:t>
      </w:r>
    </w:p>
    <w:p w14:paraId="240F30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30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WLWK-RCO112 - Podmioty zaangażowane w przygotowanie i realizację strategii zintegrowanego rozwoju terytorialnego</w:t>
      </w:r>
    </w:p>
    <w:p w14:paraId="240F30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30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WLWK-RCO076 - Zintegrowane projekty rozwoju terytorialnego</w:t>
      </w:r>
    </w:p>
    <w:p w14:paraId="240F30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0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240F30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240F30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057"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92" w:name="_Toc241668256"/>
      <w:r>
        <w:rPr>
          <w:rFonts w:ascii="Calibri" w:hAnsi="Calibri" w:cs="Calibri"/>
          <w:sz w:val="32"/>
        </w:rPr>
        <w:t>Działanie FELU.11.04 Rewitalizacja obszarów innych niż miejskie</w:t>
      </w:r>
      <w:bookmarkEnd w:id="92"/>
    </w:p>
    <w:p w14:paraId="240F30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0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EFRR.CP5.II - Wspieranie zintegrowanego i sprzyjającego włączeniu społecznemu rozwoju społecznego, gospodarczego i środowiskowego, na poziomie lokalnym, kultury, dziedzictwa naturalnego, zrównoważonej turystyki i bezpieczeństwa na obszarach innych niż miejskie</w:t>
      </w:r>
    </w:p>
    <w:p w14:paraId="240F30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0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64 636 625,00</w:t>
      </w:r>
    </w:p>
    <w:p w14:paraId="240F30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0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61 404 794,00</w:t>
      </w:r>
    </w:p>
    <w:p w14:paraId="240F30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0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079 - Ochrona przyrody i różnorodności biologicznej, dziedzictwo naturalne i zasoby naturalne, zielona i niebieska infrastruktura, 127 - Pozostała infrastruktura społeczna przyczyniająca się do włączenia społecznego, 128 - Infrastruktura zdrowotna, 165 - Ochrona, rozwój i promowanie publicznych walorów turystycznych i usług turystycznych, 166 - Ochrona, rozwój i promowanie dziedzictwa kulturowego i usług w dziedzinie kultury, 167 - Ochrona, rozwój i promowanie dziedzictwa naturalnego i ekoturystyki poza obszarami Natura 2000, 168 - Fizyczna odnowa i bezpieczeństwo przestrzeni publicznych, 172 - Finansowanie krzyżowe w ramach EFRR (wsparcie dla działań typowych dla EFS+ koniecznych do wdrożenia części operacji objętej EFRR i bezpośrednio z nią związanych)</w:t>
      </w:r>
    </w:p>
    <w:p w14:paraId="240F30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0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Rewitalizacja obszarów zdegradowanych, realizowana na podstawie GPR.</w:t>
      </w:r>
      <w:r>
        <w:br/>
        <w:t>Kluczowe warunki realizacji projektów:</w:t>
      </w:r>
      <w:r>
        <w:br/>
        <w:t>1.</w:t>
      </w:r>
      <w:r>
        <w:tab/>
        <w:t>Wsparcie ukierunkowane zostanie w szczególności na:</w:t>
      </w:r>
      <w:r>
        <w:br/>
        <w:t>a)</w:t>
      </w:r>
      <w:r>
        <w:tab/>
        <w:t>Przebudowę, rozbudowę lub modernizację zdegradowanych budynków, w tym m.in. budynków poprzemysłowych, powojskowych w celu przywrócenia lub nadania im nowych funkcji użytkowych, np. społecznych, gospodarczych, turystycznych lub kulturalnych wraz z zagospodarowaniem terenu funkcjonalnie związanego z obiektem. Za zdegradowany budynek uznać należy obiekt wyłączony z użytkowania z uwagi na stan techniczny lub niespełniający warunków technicznych umożliwiających jego użytkowanie. Za zdegradowany można też uznać obiekt, który w wyniku długiego użytkowania utracił parametry racjonalnych kosztów eksploatacji (np. awaryjność sieci wewnętrznych budynku, niedostateczne parametry termoizolacyjności) lub nie spełnia zmienionych w międzyczasie wymogów funkcjonalnych stawianych tego typu obiektom,</w:t>
      </w:r>
      <w:r>
        <w:br/>
        <w:t>b)</w:t>
      </w:r>
      <w:r>
        <w:tab/>
        <w:t>Roboty restauratorskie i konserwatorskie budynków znajdujących się w rejestrze zabytków, budynków położonych w strefie ochrony konserwatorskiej oraz budynków o wartości architektonicznej i znaczeniu historycznym nie będących w rejestrze zabytków i ich wyposażenia niezbędnego dla wprowadzenia funkcji, jaką będzie pełnić budynek po realizacji projektu w celu przywrócenia lub nadania im nowych funkcji użytkowych, np. społecznych, gospodarczych, turystycznych lub kulturalnych wraz z zagospodarowaniem terenu funkcjonalnie związanego z obiektem,</w:t>
      </w:r>
      <w:r>
        <w:br/>
        <w:t>c)</w:t>
      </w:r>
      <w:r>
        <w:tab/>
        <w:t>Uporządkowanie i zagospodarowanie zdegradowanych przestrzeni publicznych (przebudowa, lub modernizacja) w celu przywrócenia lub nadania im nowych funkcji użytkowych, np. społecznych, gospodarczych, turystycznych lub kulturalnych wyłącznie jako element zapewniający spójność kompleksowych projektów rewitalizacyjnych,</w:t>
      </w:r>
      <w:r>
        <w:br/>
        <w:t>d)</w:t>
      </w:r>
      <w:r>
        <w:tab/>
        <w:t>Zakup wyposażenia - wyłącznie jako element projektów dotyczących adaptacji budynków na cele np. gospodarcze, społeczne, turystyczne lub kulturalne i bezpośrednio związanego z funkcją, jaką będzie pełnić będzie budynek po realizacji projektu.</w:t>
      </w:r>
      <w:r>
        <w:br/>
        <w:t>Wysokość wydatków na zakup wyposażenia nie może przekroczyć 20% kosztów kwalifikowanych.</w:t>
      </w:r>
      <w:r>
        <w:br/>
        <w:t>e)</w:t>
      </w:r>
      <w:r>
        <w:tab/>
        <w:t>Roboty budowlane i modernizacyjne infrastruktury technicznej (wodno-kanalizacyjna, ciepłownicza, elektryczna (w tym oświetlenie), telekomunikacyjna oraz infrastruktura z zakresu gospodarki odpadami) - wyłącznie jako element kompleksowych projektów rewitalizacyjnych.</w:t>
      </w:r>
      <w:r>
        <w:br/>
        <w:t>Wydatki na zewnętrzną infrastrukturę techniczną nie mogą przekroczyć 25% kosztów kwalifikowalnych projektu,</w:t>
      </w:r>
      <w:r>
        <w:br/>
        <w:t>f)</w:t>
      </w:r>
      <w:r>
        <w:tab/>
        <w:t>Rozwój terenów zielonych - wyłącznie jako element zapewniający spójność kompleksowych projektów rewitalizacyjnych,</w:t>
      </w:r>
      <w:r>
        <w:br/>
        <w:t>g)</w:t>
      </w:r>
      <w:r>
        <w:tab/>
        <w:t>Przebudowę lub modernizację budynków w celu adaptacji na działalność przedsiębiorstw, w tym przedsiębiorstw społecznych wraz z zakupem wyposażenia niezbędnego do prowadzenia niniejszej działalności,</w:t>
      </w:r>
      <w:r>
        <w:br/>
        <w:t>h)</w:t>
      </w:r>
      <w:r>
        <w:tab/>
        <w:t>Fizyczną odnowę i bezpieczeństwo przestrzeni publicznych, tj. w szczególności: zwiększanie odporności lokalnej gospodarki, w tym infrastruktury, na nieprzewidziane sytuacje kryzysowe.</w:t>
      </w:r>
      <w:r>
        <w:br/>
        <w:t>i)</w:t>
      </w:r>
      <w:r>
        <w:tab/>
        <w:t>Rozwój powiązany z przywróceniem lub nadaniem nowych funkcji użytkowych, infrastruktury publicznej w celu poprawy wykorzystania walorów gminy uzdrowiskowej,</w:t>
      </w:r>
      <w:r>
        <w:br/>
        <w:t>j)</w:t>
      </w:r>
      <w:r>
        <w:tab/>
        <w:t>Rozwój infrastruktury i wyposażenia podmiotów świadczących usługi sanatoryjne i/lub uzdrowiskowe na terenie gmin uzdrowiskowych oraz obszarów ochrony uzdrowiskowej.</w:t>
      </w:r>
      <w:r>
        <w:br/>
        <w:t>Inwestycje w zakresie rozwoju infrastruktury i wyposażenia podmiotów świadczących usługi sanatoryjne i/lub uzdrowiskowe muszą być związane z przywróceniem lub nadaniem nowych funkcji użytkowych.</w:t>
      </w:r>
      <w:r>
        <w:br/>
        <w:t>2.</w:t>
      </w:r>
      <w:r>
        <w:tab/>
        <w:t>Szczegółowe zasady kwalifikowalności wydatków określone zostaną w Regulaminie wyboru projektów.</w:t>
      </w:r>
      <w:r>
        <w:br/>
        <w:t>3.</w:t>
      </w:r>
      <w:r>
        <w:tab/>
        <w:t>Do dofinansowania kwalifikują się wyłącznie przedsięwzięcia ujęte na liście podstawowej GPR, który został pozytywnie zaopiniowany przez IZ i umieszczony na wykazie prowadzonym przez IZ.</w:t>
      </w:r>
      <w:r>
        <w:br/>
        <w:t>4.</w:t>
      </w:r>
      <w:r>
        <w:tab/>
        <w:t>Preferowane będą projekty realizowane na obszarze rewitalizacji.</w:t>
      </w:r>
      <w:r>
        <w:br/>
        <w:t>5.</w:t>
      </w:r>
      <w:r>
        <w:tab/>
        <w:t>W ramach rewitalizacji realizacja działań inwestycyjnych będzie uzależniona od potrzeb społecznych mieszkańców obszaru rewitalizacji poprzez powiązanie działań infrastrukturalnych z działaniami nieinfrastrukturalnymi, w szczególności współfinansowanymi z EFS+.</w:t>
      </w:r>
      <w:r>
        <w:br/>
        <w:t>6.</w:t>
      </w:r>
      <w:r>
        <w:tab/>
        <w:t>W ramach Działania przewidziano wsparcie działań społecznych koniecznych do wdrożenia części infrastrukturalnej objętej EFRR i bezpośrednio z nią związanych. Wartość kosztów kwalifikowalnych niniejszych zadań nie może przekroczyć 15% współfinansowania unijnego projektu. Wydatki nie mogą dotyczyć wsparcia organizacji wydarzeń ujętych w planie działalności w okresie trwałości projektu.</w:t>
      </w:r>
      <w:r>
        <w:br/>
        <w:t>7.</w:t>
      </w:r>
      <w:r>
        <w:tab/>
        <w:t>Inwestycje w elementy infrastruktury drogowej (w tym w parkingi) nie będą wspierane w ramach rewitalizacji, chyba że stanowią nieodłączny element większego projektu, nie są one dominującym elementem tego projektu a ich koszt nie przekracza 15% kosztów kwalifikowalnych projektu. W miastach, projekty te nie mogą obejmować budowy nowych dróg lub parkingów oraz w odniesieniu do istniejących - zwiększenia ich pojemności lub przepustowości, ani nie mogą w żaden inny sposób przyczyniać się do zwiększenia natężenia ruchu samochodowego. Ograniczeniu temu podlegają wszelkie parkingi, w tym parkingi będące powierzchniami utwardzonymi, budowlami/budynkami.</w:t>
      </w:r>
      <w:r>
        <w:br/>
        <w:t>8.</w:t>
      </w:r>
      <w:r>
        <w:tab/>
        <w:t>Realizowane inwestycje w drogi publiczne, bez względu na kategorię drogi, po zakończeniu realizacji inwestycji, muszą zapewnić wymóg nośności drogi wynoszącej minimum 11,5 t na oś.</w:t>
      </w:r>
      <w:r>
        <w:br/>
        <w:t>9.</w:t>
      </w:r>
      <w:r>
        <w:tab/>
        <w:t>W projektach rewitalizacji należy szczególnie zadbać o zachowanie i rozwój zielonej infrastruktury, zwłaszcza ochronę drzew, w całym cyklu projektowym, w tym poprzez stosowanie standardów ochrony zieleni. Mając na uwadze potrzebę adaptacji do zmiany klimatu, należy dążyć również do zwiększania powierzchni biologicznie czynnych i unikania tworzenia powierzchni uszczelnionych.</w:t>
      </w:r>
      <w:r>
        <w:br/>
        <w:t>10.</w:t>
      </w:r>
      <w:r>
        <w:tab/>
        <w:t>Działania mające na celu poprawę dostępności do usług społecznych będą musiały wykazać zgodność ze strategią deinstytucjonalizacji. Inwestycje infrastrukturalne w placówki świadczące całodobową opiekę długoterminową w instytucjonalnych formach są niedozwolone.</w:t>
      </w:r>
      <w:r>
        <w:br/>
        <w:t>11.</w:t>
      </w:r>
      <w:r>
        <w:tab/>
        <w:t>Przedsięwzięcia infrastrukturalne w sektorze kultury ukierunkowane będą na rozwijanie aktywności społecznej m.in. poprzez tworzenie/adaptację/ dostosowanie budynków i przestrzeni do realizacji oferty kulturalno-edukacyjnej, rozwój innowacji społecznych.</w:t>
      </w:r>
      <w:r>
        <w:br/>
        <w:t>12.</w:t>
      </w:r>
      <w:r>
        <w:tab/>
        <w:t>Co do zasady wsparcie w sektorze kultury nie będzie obejmować budowy nowych obiektów. Taki rodzaj interwencji będzie dozwolony jedynie w wyjątkowych i należycie uzasadnionych przypadkach. Wyjątek od powyższej zasady dotyczy odtworzenia zabudowy zdegradowanej w stopniu uniemożliwiającym jej regenerację/renowację (zastąpienie starego budynku nowym). W takim przypadku, wnioskodawca zobowiązany będzie do przedstawienia wiarygodnych analiz potwierdzających, iż stopień zdegradowania budynku uniemożliwia jego regenerację/renowację, w tym analiz potwierdzających efektywność kosztową takiego rozwiązania. Za wiarygodną analizę uznana będzie ekspertyza techniczna wykonana przez osobę posiadającą tytuł rzeczoznawcy budowlanego nadany przez właściwy organ samorządu zawodowego.</w:t>
      </w:r>
      <w:r>
        <w:br/>
        <w:t>13.</w:t>
      </w:r>
      <w:r>
        <w:tab/>
        <w:t xml:space="preserve">Wsparcie rozwoju turystyki, co do zasady nie będzie obejmować działań na rzecz budowy nowych obiektów budowlanych, które są budynkami. Wyjątkiem są projekty, których celowość realizacji wynika z diagnozy obszaru rewitalizacji i jest potwierdzona analizami wskazującymi na niedostępność lub brak możliwości wykorzystania istniejących budynków. </w:t>
      </w:r>
      <w:r>
        <w:br/>
        <w:t>14.</w:t>
      </w:r>
      <w:r>
        <w:tab/>
        <w:t>Wsparcie rozwoju turystyki będzie skierowane na projekty turystyczne, które są wspierane odpowiednią analizą popytu i oceną potrzeb w celu ograniczenia ryzyka nieefektywności, są skoordynowane z projektami w sąsiednich obszarach, unikając nakładania się i konkurencji oraz mają wpływ wykraczający poza sam projekt na stymulowanie aktywności turystycznej w regionie, jak również są trwałe i będą utrzymywane po ich zakończeniu.</w:t>
      </w:r>
      <w:r>
        <w:br/>
        <w:t>15.</w:t>
      </w:r>
      <w:r>
        <w:tab/>
        <w:t>Zgodnie z rekomendacjami zawartymi w raporcie ETO 08/2020 oraz 27/2021 r. inwestycje w kulturę i turystykę będą respektować zasadę zrównoważonego oddziaływania na środowisko, potrzebę rozwoju cyfrowego, zasadę dostępności dla osób ze specjalnymi potrzebami, zasadę stabilności i efektywności finansowej (możliwość utrzymania się w długofalowej perspektywie) oraz odporności na kryzys (stosując innowacyjne rozwiązania, dywersyfikację przychodów i usług, digitalizację).</w:t>
      </w:r>
      <w:r>
        <w:br/>
        <w:t>16.</w:t>
      </w:r>
      <w:r>
        <w:tab/>
        <w:t>Ze wsparcia wyłączone są budynki/pomieszczenia w których prowadzona jest działalność administracyjno-biurowa organów administracji publicznej.</w:t>
      </w:r>
      <w:r>
        <w:br/>
        <w:t>17.</w:t>
      </w:r>
      <w:r>
        <w:tab/>
        <w:t>Wsparcie w ramach Działania nie może być udzielone w zakresie, w jakim jest wykluczone w art. 1 ust. 2 - 5 Rozporządzenia Komisji (UE) NR 651/2014 z dnia 17 czerwca 2014 r. oraz w art. 1 ust. 1 Rozporządzenia Komisji (UE) nr 2023/2831 z dnia 13 grudnia 2023 r. w sprawie stosowania art. 107 i 108 Traktatu o funkcjonowaniu Unii Europejskiej do pomocy de minimis.</w:t>
      </w:r>
      <w:r>
        <w:br/>
        <w:t>18.</w:t>
      </w:r>
      <w:r>
        <w:tab/>
        <w:t>Wsparcie w ramach Działania jest zgodne z Wytycznymi dotyczącymi realizacji zasad równościowych w ramach funduszy unijnych na lata 2021-2027, w szczególności wsparcie jest udzielane projektom uwzględniającym koncepcję uniwersalnego projektowania.</w:t>
      </w:r>
      <w:r>
        <w:br/>
        <w:t>19.</w:t>
      </w:r>
      <w:r>
        <w:tab/>
        <w:t>Zastosowane będą preferencje dla przedsięwzięć zgodnych z założeniami inicjatywy Nowy Europejski Bauhaus.</w:t>
      </w:r>
      <w:r>
        <w:br/>
        <w:t>20.</w:t>
      </w:r>
      <w:r>
        <w:tab/>
        <w:t xml:space="preserve">Inwestycje o komercyjnym charakterze, w szczególności wsparcie kierowane do przedsiębiorstw jako bezpośrednich beneficjentów oraz rentowne inwestycje podmiotów świadczących usługi sanatoryjne i/lub uzdrowiskowe będą finansowane w formach zwrotnych. Inwestycje w zakresie zewnętrznego oświetlenia będą finansowane, o ile nie będą stanowić dominującego elementu projektu. </w:t>
      </w:r>
      <w:r>
        <w:br/>
        <w:t>21.    Przewidywane wsparcie z Budżetu Państwa w ramach środków określonych w Kontrakcie Programowym dla Województwa Lubelskiego.</w:t>
      </w:r>
    </w:p>
    <w:p w14:paraId="240F30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0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0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0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30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0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30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0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 Rozporządzenie Ministra Funduszy i Polityki Regionalnej z dnia 24 sierpnia 2023 r. w sprawie udzielania pomocy inwestycyjnej na infrastrukturę sportową i wielofunkcyjną infrastrukturę rekreacyjną w ramach regionalnych programów na lata 2021–2027 (Dz.U. 2023 poz. 1818), Rozporządzenie Ministra Funduszy i Polityki Regionalnej z dnia 7 sierpnia 2023 r. w sprawie udzielania pomocy inwestycyjnej na kulturę i zachowanie dziedzictwa kulturowego w ramach regionalnych programów na lata 2021–2027 (Dz.U. 2023 poz. 1678)</w:t>
      </w:r>
    </w:p>
    <w:p w14:paraId="240F30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0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30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0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240F30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0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0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0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1% - projekty współfinansowane z Budżetu Państwa; Projekty w części objętej pomocą publiczną: zgodnie z programami pomocy publicznej</w:t>
      </w:r>
    </w:p>
    <w:p w14:paraId="240F30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0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30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0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240F30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0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Przedsiębiorstwa realizujące cele publiczne, Służby publiczne</w:t>
      </w:r>
    </w:p>
    <w:p w14:paraId="240F30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0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obszarów wiejskich, środowiska lub lokalne społeczności zagrożonych ubóstwem lub wykluczeniem społecznym w szczególności lokalne społeczności na obszarach zdegradowanych, w tym objętych rewitalizacją</w:t>
      </w:r>
    </w:p>
    <w:p w14:paraId="240F30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0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 kultura, obszar_rewitalizacji, rewitalizacja, tereny_zdegradowane, tożsamość_lokalna, turystyka, uzdrowiska, włączenie_społeczne, zrownoważony_rozwój</w:t>
      </w:r>
    </w:p>
    <w:p w14:paraId="240F30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0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30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0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0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0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WLWK-PLRO141 - Liczba instytucji kultury objętych wsparciem</w:t>
      </w:r>
    </w:p>
    <w:p w14:paraId="240F30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30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240F30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30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WLWK-PLRO147 - Liczba wspartych budynków mieszkalnych zlokalizowanych na rewitalizowanych obszarach</w:t>
      </w:r>
    </w:p>
    <w:p w14:paraId="240F30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30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30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30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WLWK-PLRO148 - Liczba wspartych obiektów infrastruktury (innych niż budynki mieszkalne) zlokalizowanych na rewitalizowanych obszarach</w:t>
      </w:r>
    </w:p>
    <w:p w14:paraId="240F30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30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WLWK-PLRO231 - Liczba wspartych urządzeń lecznictwa uzdrowiskowego </w:t>
      </w:r>
    </w:p>
    <w:p w14:paraId="240F30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WLWK-PLRO230 - Liczba zakładów lecznictwa uzdrowiskowego objęta projektem</w:t>
      </w:r>
    </w:p>
    <w:p w14:paraId="240F30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30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240F30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WLWK-RCO112 - Podmioty zaangażowane w przygotowanie i realizację strategii zintegrowanego rozwoju terytorialnego</w:t>
      </w:r>
    </w:p>
    <w:p w14:paraId="240F30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WLWK-PLRO146 - Powierzchnia obszarów objętych rewitalizacją</w:t>
      </w:r>
    </w:p>
    <w:p w14:paraId="240F30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240F30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30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WLWK-RCO076 - Zintegrowane projekty rozwoju terytorialnego</w:t>
      </w:r>
    </w:p>
    <w:p w14:paraId="240F30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0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WLWK-PLRR048 - Liczba ludności zamieszkującej obszar rewitalizacji</w:t>
      </w:r>
    </w:p>
    <w:p w14:paraId="240F30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240F30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WLWK-PLRR049 - Liczba przedsiębiorstw ulokowanych na zrewitalizowanych obszarach</w:t>
      </w:r>
    </w:p>
    <w:p w14:paraId="240F30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240F30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240F30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09B"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93" w:name="_Toc241668257"/>
      <w:r>
        <w:rPr>
          <w:rFonts w:ascii="Calibri" w:hAnsi="Calibri" w:cs="Calibri"/>
          <w:sz w:val="32"/>
        </w:rPr>
        <w:t>Działanie FELU.11.05 Ochrona dziedzictwa naturalnego, bezpieczeństwo i rozwój zrównoważonej turystyki obszarów innych niż miejskie</w:t>
      </w:r>
      <w:bookmarkEnd w:id="93"/>
    </w:p>
    <w:p w14:paraId="240F30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0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EFRR.CP5.II - Wspieranie zintegrowanego i sprzyjającego włączeniu społecznemu rozwoju społecznego, gospodarczego i środowiskowego, na poziomie lokalnym, kultury, dziedzictwa naturalnego, zrównoważonej turystyki i bezpieczeństwa na obszarach innych niż miejskie</w:t>
      </w:r>
    </w:p>
    <w:p w14:paraId="240F30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0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35 283 407,00</w:t>
      </w:r>
    </w:p>
    <w:p w14:paraId="240F30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0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33 519 237,00</w:t>
      </w:r>
    </w:p>
    <w:p w14:paraId="240F30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0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020 - Infrastruktura biznesowa dla MŚP (w tym parki i obiekty przemysłowe), 128 - Infrastruktura zdrowotna, 165 - Ochrona, rozwój i promowanie publicznych walorów turystycznych i usług turystycznych, 167 - Ochrona, rozwój i promowanie dziedzictwa naturalnego i ekoturystyki poza obszarami Natura 2000, 168 - Fizyczna odnowa i bezpieczeństwo przestrzeni publicznych, 172 - Finansowanie krzyżowe w ramach EFRR (wsparcie dla działań typowych dla EFS+ koniecznych do wdrożenia części operacji objętej EFRR i bezpośrednio z nią związanych)</w:t>
      </w:r>
    </w:p>
    <w:p w14:paraId="240F30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0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Rozwój obszarów o wysokich walorach przyrodniczych i krajobrazowych, jak też opartych o właściwości uzdrowiskowe i walory kulturowe (poza obszarami Natura 2000) stanowiące o ich potencjale, w tym m.in. o wysokiej atrakcyjności turystycznej.</w:t>
      </w:r>
      <w:r>
        <w:br/>
        <w:t>2.</w:t>
      </w:r>
      <w:r>
        <w:tab/>
        <w:t>Fizyczna odnowa i bezpieczeństwo przestrzeni publicznych, tj. w szczególności: zwiększanie odporności lokalnej gospodarki, w tym infrastruktury, na nieprzewidziane sytuacje kryzysowe.</w:t>
      </w:r>
      <w:r>
        <w:br/>
        <w:t>3.</w:t>
      </w:r>
      <w:r>
        <w:tab/>
        <w:t>Rozwój infrastruktury i wyposażenia podmiotów świadczących usługi sanatoryjne i/lub uzdrowiskowe na terenie gmin uzdrowiskowych oraz obszarów ochrony uzdrowiskowej.</w:t>
      </w:r>
      <w:r>
        <w:br/>
        <w:t>4.</w:t>
      </w:r>
      <w:r>
        <w:tab/>
        <w:t>Przygotowanie terenów inwestycyjnych i zapewnienie infrastruktury biznesowej lub poprawa infrastruktury istniejących terenów w powiązaniu z innymi projektami inwestycyjnymi.</w:t>
      </w:r>
      <w:r>
        <w:br/>
        <w:t>Kluczowe warunki realizacji projektów:</w:t>
      </w:r>
      <w:r>
        <w:br/>
        <w:t>Wsparcie w ramach Typu 1 ukierunkowane zostanie w szczególności na działania dotyczące:</w:t>
      </w:r>
      <w:r>
        <w:br/>
        <w:t>a)</w:t>
      </w:r>
      <w:r>
        <w:tab/>
        <w:t>budowy i rozwoju infrastruktury turystycznej i zagospodarowania turystycznego, w tym:</w:t>
      </w:r>
      <w:r>
        <w:br/>
        <w:t>•</w:t>
      </w:r>
      <w:r>
        <w:tab/>
        <w:t>infrastruktura zlokalizowana wokół istniejących zbiorników wodnych, np. kąpieliska, plaże, pomosty, mola, przystanie wodne,</w:t>
      </w:r>
      <w:r>
        <w:br/>
        <w:t>•</w:t>
      </w:r>
      <w:r>
        <w:tab/>
        <w:t>bulwary, promenady,</w:t>
      </w:r>
      <w:r>
        <w:br/>
        <w:t>•</w:t>
      </w:r>
      <w:r>
        <w:tab/>
        <w:t>zintegrowane szlaki turystyczne, ścieżki rowerowe, ścieżki edukacyjne,</w:t>
      </w:r>
      <w:r>
        <w:br/>
        <w:t>•</w:t>
      </w:r>
      <w:r>
        <w:tab/>
        <w:t xml:space="preserve">punkty widokowe, wieże widokowe, </w:t>
      </w:r>
      <w:r>
        <w:br/>
        <w:t>•</w:t>
      </w:r>
      <w:r>
        <w:tab/>
        <w:t xml:space="preserve">szlaki narciarskie, spływy kajakowe, itp., </w:t>
      </w:r>
      <w:r>
        <w:br/>
        <w:t>•</w:t>
      </w:r>
      <w:r>
        <w:tab/>
        <w:t xml:space="preserve">wsparcia rozwoju centrów/ punktów informacji kulturalnej oraz turystycznej, </w:t>
      </w:r>
      <w:r>
        <w:br/>
        <w:t>•</w:t>
      </w:r>
      <w:r>
        <w:tab/>
        <w:t xml:space="preserve">renowacji, modernizacji, ochrony i rozwoju infrastruktury zabytkowej w celu podniesienia jej atrakcyjności turystycznej, </w:t>
      </w:r>
      <w:r>
        <w:br/>
        <w:t>•</w:t>
      </w:r>
      <w:r>
        <w:tab/>
        <w:t>odnowa dolin rzecznych i zbiorników wodnych celem rozwoju turystyki i tworzenia miejsc wypoczynku na tych obszarach wraz zapewnieniem dostępności obiektów, w tym dla osób z niepełnosprawnościami,</w:t>
      </w:r>
      <w:r>
        <w:br/>
        <w:t>b)</w:t>
      </w:r>
      <w:r>
        <w:tab/>
        <w:t>obiektów dziedzictwa naturalnego wraz z zagospodarowaniem terenów wokół (m.in. mała architektura, tereny zielone, ścieżki piesze i pieszo-rowerowe), tj. m.in.:</w:t>
      </w:r>
      <w:r>
        <w:br/>
        <w:t>•</w:t>
      </w:r>
      <w:r>
        <w:tab/>
        <w:t>odbudowa, modernizacja i wyposażenie obiektów dziedzictwa naturalnego wraz z wyposażeniem oraz budowa lub remont towarzyszącej infrastruktury oraz zagospodarowanie terenów wokół obiektów dziedzictwa naturalnego,</w:t>
      </w:r>
      <w:r>
        <w:br/>
        <w:t>•</w:t>
      </w:r>
      <w:r>
        <w:tab/>
        <w:t>kompleksowe zagospodarowanie terenów zielonych - tworzenie nowych „zielonych” miejsc wypoczynku dla mieszkańców,</w:t>
      </w:r>
      <w:r>
        <w:br/>
        <w:t>•</w:t>
      </w:r>
      <w:r>
        <w:tab/>
        <w:t>wsparcie projektów z zakresu zagospodarowania terenów zielonych, ochrony dziedzictwa naturalnego i rozwoju turystyki na obszarze uzdrowisk.</w:t>
      </w:r>
      <w:r>
        <w:br/>
        <w:t>c)</w:t>
      </w:r>
      <w:r>
        <w:tab/>
        <w:t>tworzenia sieciowych produktów turystycznych,</w:t>
      </w:r>
      <w:r>
        <w:br/>
        <w:t>d)</w:t>
      </w:r>
      <w:r>
        <w:tab/>
        <w:t>dywersyfikacji produktów turystycznych, zrównoważonej turystyki mające na celu zwiększanie zatrudnienia i stworzenie wysokiej jakości miejsc pracy,</w:t>
      </w:r>
      <w:r>
        <w:br/>
        <w:t>e)</w:t>
      </w:r>
      <w:r>
        <w:tab/>
        <w:t>rozwoju infrastruktury publicznej w celu poprawy wykorzystania walorów gminy uzdrowiskowej.</w:t>
      </w:r>
      <w:r>
        <w:br/>
        <w:t>Wsparcie w ramach typu 4 ukierunkowane zostanie w szczególności na działania obejmujące:</w:t>
      </w:r>
      <w:r>
        <w:br/>
        <w:t>a)</w:t>
      </w:r>
      <w:r>
        <w:tab/>
        <w:t>uzbrojenie w media (infrastruktura wodno-kanalizacyjna, telekomunikacyjna, energetyczna, ciepłownicza),</w:t>
      </w:r>
      <w:r>
        <w:br/>
        <w:t>b)</w:t>
      </w:r>
      <w:r>
        <w:tab/>
        <w:t>budowę, modernizacje, adaptację budynków na cele gospodarcze,</w:t>
      </w:r>
      <w:r>
        <w:br/>
        <w:t>c)</w:t>
      </w:r>
      <w:r>
        <w:tab/>
        <w:t xml:space="preserve">budowę lub modernizację wewnętrznego układu komunikacyjnego – wyłącznie jako element projektu, </w:t>
      </w:r>
      <w:r>
        <w:br/>
        <w:t>d)     prace studyjno-koncepcyjne i badania geotechniczne – wyłącznie jako element projektu.</w:t>
      </w:r>
      <w:r>
        <w:br/>
        <w:t>Ad.1</w:t>
      </w:r>
      <w:r>
        <w:br/>
        <w:t>-</w:t>
      </w:r>
      <w:r>
        <w:tab/>
        <w:t xml:space="preserve">Wsparcie rozwoju turystyki, co do zasady nie będzie obejmować działań na rzecz budowy nowych obiektów budowlanych, które są budynkami. Wyjątkiem są projekty, których celowość realizacji wynika z diagnozy obszaru współpracy partnerstwa JST i jest potwierdzona analizami wskazującymi na niedostępność lub brak możliwości wykorzystania istniejących budynków. </w:t>
      </w:r>
      <w:r>
        <w:br/>
        <w:t>-</w:t>
      </w:r>
      <w:r>
        <w:tab/>
        <w:t>Wsparcie będzie skierowane na projekty turystyczne, które są wspierane odpowiednią analizą popytu i oceną potrzeb w celu ograniczenia ryzyka nieefektywności, są skoordynowane z projektami w sąsiednich obszarach, unikając nakładania się i konkurencji oraz mają wpływ wykraczający poza sam projekt na stymulowanie aktywności turystycznej w regionie, jak również są trwałe i będą utrzymywane po ich zakończeniu.</w:t>
      </w:r>
      <w:r>
        <w:br/>
        <w:t>-</w:t>
      </w:r>
      <w:r>
        <w:tab/>
        <w:t>Zgodnie z rekomendacjami zawartymi w raporcie ETO 08/2020 oraz 27/2021 r. inwestycje w kulturę i turystykę będą respektować zasadę zrównoważonego oddziaływania na środowisko, potrzebę rozwoju cyfrowego, zasadę dostępności dla osób ze specjalnymi potrzebami, zasadę stabilności i efektywności finansowej (możliwość utrzymania się w długofalowej perspektywie) oraz odporności na kryzys (stosując innowacyjne rozwiązania, dywersyfikację przychodów i usług, digitalizację).</w:t>
      </w:r>
      <w:r>
        <w:br/>
        <w:t>- Możliwa jest realizacja projektów z zakresu ochrony, rozwoju i promowania publicznych walorów turystycznych i usług turystycznych na obszarach Natura 2000 pod warunkiem ich powiązania i podporządkowania działaniom związanym z ochroną przyrody (zgodność z planami ochrony/planami zadań ochronnych). Projekty budowy i rozwoju infrastruktury turystycznej powinny przyczyniać się do ukierunkowania ruchu turystycznego na terenie obszarów chronionych i cennych przyrodniczo. Inwestycje oparte o właściwości uzdrowiskowe i walory kulturowe na obszarach Natura 2000 nie będą wspierane.</w:t>
      </w:r>
      <w:r>
        <w:br/>
        <w:t>Ad.4:</w:t>
      </w:r>
      <w:r>
        <w:br/>
        <w:t>1.</w:t>
      </w:r>
      <w:r>
        <w:tab/>
        <w:t>Projekty z zakresu wsparcia terenów inwestycyjnych muszą być realizowane w powiązaniu z innymi projektami inwestycyjnymi, zidentyfikowanymi w Strategii terytorialnej będącej podstawą realizacji IIT.</w:t>
      </w:r>
      <w:r>
        <w:br/>
        <w:t>2.</w:t>
      </w:r>
      <w:r>
        <w:tab/>
        <w:t>Teren, którego dotyczy projekt musi być przeznaczony w miejscowym planie zagospodarowania przestrzennego (lub innym równoważnym dokumencie, o którym mowa w art. 4 pkt 2 Ustawy z dnia 27 marca 2003 r. o planowaniu i zagospodarowaniu przestrzennym pod działalność gospodarczą, zarówno produkcyjną jak i usługową.</w:t>
      </w:r>
      <w:r>
        <w:br/>
        <w:t>3.</w:t>
      </w:r>
      <w:r>
        <w:tab/>
        <w:t>Teren, którego dotyczy projekt, nie może być przeznaczony wyłącznie pod wielkopowierzchniowe obiekty handlowe.</w:t>
      </w:r>
      <w:r>
        <w:br/>
        <w:t>4.</w:t>
      </w:r>
      <w:r>
        <w:tab/>
        <w:t>Teren, którego dotyczy projekt nie może być przeznaczony pod inwestycje mieszkaniowe, tereny sportu oraz tereny zabudowy zagrodowej w gospodarstwach rolnych, hodowlanych i ogrodniczych.</w:t>
      </w:r>
      <w:r>
        <w:br/>
        <w:t>Warunki ogólne dla wszystkich typów projektów:</w:t>
      </w:r>
      <w:r>
        <w:br/>
        <w:t>1.</w:t>
      </w:r>
      <w:r>
        <w:tab/>
        <w:t>Szczegółowe zasady kwalifikowalności wydatków określone zostaną w Regulaminie wyboru projektów.</w:t>
      </w:r>
      <w:r>
        <w:br/>
        <w:t>2.</w:t>
      </w:r>
      <w:r>
        <w:tab/>
        <w:t>Obszar geograficzny współpracy partnerstw JST powinien być wyznaczony wspólną granicą (zwartość terytorialna i funkcjonalno-przestrzenna).</w:t>
      </w:r>
      <w:r>
        <w:br/>
        <w:t>3.</w:t>
      </w:r>
      <w:r>
        <w:tab/>
        <w:t>Realizowane przedsięwzięcia muszą zostać zidentyfikowane w strategii terytorialnej będącej podstawą realizacji IIT, pozytywnie zaopiniowanej pod kątem możliwości jej finansowania w ramach Programu, przez IZ.</w:t>
      </w:r>
      <w:r>
        <w:br/>
        <w:t>4.</w:t>
      </w:r>
      <w:r>
        <w:tab/>
        <w:t>Inwestycje w elementy infrastruktury drogowej (w tym w parkingi) mogą być wspierane pod warunkiem, że stanowią nieodłączny element większego projektu, nie są one dominującym elementem tego projektu a ich koszt nie przekracza 15% kosztów kwalifikowalnych projektu. W miastach projekty te nie mogą obejmować budowy nowych dróg lub parkingów oraz w odniesieniu do istniejących - zwiększenia ich pojemności lub przepustowości, ani nie mogą w żaden inny sposób przyczyniać się do zwiększenia natężenia ruchu samochodowego. Ograniczeniu temu podlegają wszelkie parkingi, w tym parkingi będące powierzchniami utwardzonymi, budowlami/budynkami.</w:t>
      </w:r>
      <w:r>
        <w:br/>
        <w:t>5.</w:t>
      </w:r>
      <w:r>
        <w:tab/>
        <w:t>Realizowane inwestycje w drogi publiczne, bez względu na kategorię drogi, po zakończeniu realizacji inwestycji, muszą zapewnić wymóg nośności drogi wynoszącej minimum 11,5 t na oś.</w:t>
      </w:r>
      <w:r>
        <w:br/>
        <w:t>6.</w:t>
      </w:r>
      <w:r>
        <w:tab/>
        <w:t>W ramach Działania przewidziano wsparcie działań społecznych obejmujących m.in. inwestycje na rzecz aktywnego włączenia społecznego. Wartość niniejszych zadań nie może przekroczyć 15% współfinansowania unijnego projektu.</w:t>
      </w:r>
      <w:r>
        <w:br/>
        <w:t>7.</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8.</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9.</w:t>
      </w:r>
      <w:r>
        <w:tab/>
        <w:t>Inwestycje o komercyjnym charakterze, w szczególności wsparcie kierowane do przedsiębiorstw jako bezpośrednich beneficjentów oraz rentowne inwestycje podmiotów świadczących usługi sanatoryjne i/lub uzdrowiskowe, nie będą wspierane.</w:t>
      </w:r>
      <w:r>
        <w:br/>
        <w:t>10.   Inwestycje dot. zewnętrznego oświetlenia nie mogą stanowić dominującego elementu projektu.</w:t>
      </w:r>
    </w:p>
    <w:p w14:paraId="240F30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0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0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0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0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0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30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0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30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0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30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0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0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0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0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0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30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0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30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0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240F30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0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Organizacje społeczne i związki wyznaniowe, Partnerstwa, Przedsiębiorstwa, Przedsiębiorstwa realizujące cele publiczne, Służby publiczne</w:t>
      </w:r>
    </w:p>
    <w:p w14:paraId="240F30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0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gmin zmarginalizowanych i tracących funkcje społeczno-gospodarcze, mieszkańcy obszarów wiejskich, mieszkańcy regionu, w tym społeczności lokalne szczególnie zagrożone trwałą marginalizacją</w:t>
      </w:r>
    </w:p>
    <w:p w14:paraId="240F30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0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doliny_rzeczne, dostępność, park_krajobrazowy, przystanie_wodne, rezerwat_przyrody, ścieżki_rowerowe, trasy_turystyczne, turystyka, uzdrowiska, Zintegrowane_Inwestycje_Terytorialne</w:t>
      </w:r>
    </w:p>
    <w:p w14:paraId="240F30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0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30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0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0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0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WLWK-PLRO136 - Długość odnowionych szlaków turystycznych</w:t>
      </w:r>
    </w:p>
    <w:p w14:paraId="240F30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WLWK-PLRO137 - Długość utworzonych szlaków turystycznych</w:t>
      </w:r>
    </w:p>
    <w:p w14:paraId="240F30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WLWK-PLRO163 - Liczba nowych inwestorów</w:t>
      </w:r>
    </w:p>
    <w:p w14:paraId="240F30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30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240F30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30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WLWK-PLRO143 - Liczba utworzonych punktów informacji turystycznej i infokiosków zapewniających obsługę w min. 2 językach obcych</w:t>
      </w:r>
    </w:p>
    <w:p w14:paraId="240F30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30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WLWK-PLRO142 - Liczba wspartych instytucji paramuzealnych</w:t>
      </w:r>
    </w:p>
    <w:p w14:paraId="240F30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30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30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WLWK-PLRO144 - Liczba wspartych obiektów w miejscach dziedzictwa naturalnego</w:t>
      </w:r>
    </w:p>
    <w:p w14:paraId="240F30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30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WLWK-PLRO231 - Liczba wspartych urządzeń lecznictwa uzdrowiskowego </w:t>
      </w:r>
    </w:p>
    <w:p w14:paraId="240F30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WLWK-PLRO139 - Liczba zabytków nieruchomych objętych wsparciem</w:t>
      </w:r>
    </w:p>
    <w:p w14:paraId="240F30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WLWK-PLRO230 - Liczba zakładów lecznictwa uzdrowiskowego objęta projektem</w:t>
      </w:r>
    </w:p>
    <w:p w14:paraId="240F30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30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WLWK-RCO112 - Podmioty zaangażowane w przygotowanie i realizację strategii zintegrowanego rozwoju terytorialnego</w:t>
      </w:r>
    </w:p>
    <w:p w14:paraId="240F30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WLWK-PLRO145 - Powierzchnia przygotowanych terenów inwestycyjnych</w:t>
      </w:r>
    </w:p>
    <w:p w14:paraId="240F30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240F30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30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WLWK-RCO076 - Zintegrowane projekty rozwoju terytorialnego</w:t>
      </w:r>
    </w:p>
    <w:p w14:paraId="240F30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0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WLWK-PLRR037 - Liczba inwestycji zlokalizowanych na przygotowanych terenach inwestycyjnych</w:t>
      </w:r>
    </w:p>
    <w:p w14:paraId="240F30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240F30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240F30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240F30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0E1"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94" w:name="_Toc241668258"/>
      <w:r>
        <w:rPr>
          <w:rFonts w:ascii="Calibri" w:hAnsi="Calibri" w:cs="Calibri"/>
          <w:sz w:val="32"/>
        </w:rPr>
        <w:t>Działanie FELU.11.06 Ochrona dziedzictwa kulturowego obszarów innych niż miejskie</w:t>
      </w:r>
      <w:bookmarkEnd w:id="94"/>
    </w:p>
    <w:p w14:paraId="240F30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0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EFRR.CP5.II - Wspieranie zintegrowanego i sprzyjającego włączeniu społecznemu rozwoju społecznego, gospodarczego i środowiskowego, na poziomie lokalnym, kultury, dziedzictwa naturalnego, zrównoważonej turystyki i bezpieczeństwa na obszarach innych niż miejskie</w:t>
      </w:r>
    </w:p>
    <w:p w14:paraId="240F30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0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10 587 353,00</w:t>
      </w:r>
    </w:p>
    <w:p w14:paraId="240F30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0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10 057 985,00</w:t>
      </w:r>
    </w:p>
    <w:p w14:paraId="240F30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0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166 - Ochrona, rozwój i promowanie dziedzictwa kulturowego i usług w dziedzinie kultury, 172 - Finansowanie krzyżowe w ramach EFRR (wsparcie dla działań typowych dla EFS+ koniecznych do wdrożenia części operacji objętej EFRR i bezpośrednio z nią związanych)</w:t>
      </w:r>
    </w:p>
    <w:p w14:paraId="240F30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0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Ochrona, rozwój i promowanie materialnego i niematerialnego dziedzictwa kulturowego i usług w dziedzinie kultury.</w:t>
      </w:r>
      <w:r>
        <w:br/>
        <w:t>Kluczowe warunki realizacji projektów:</w:t>
      </w:r>
      <w:r>
        <w:br/>
        <w:t>1)</w:t>
      </w:r>
      <w:r>
        <w:tab/>
        <w:t>Wsparcie ukierunkowane zostanie w szczególności na działania obejmujące:</w:t>
      </w:r>
      <w:r>
        <w:br/>
        <w:t>a)</w:t>
      </w:r>
      <w:r>
        <w:tab/>
        <w:t>roboty budowlane i modernizacyjne dotyczące zabytków i zespołów zabytkowych wraz z otoczeniem (m.in. mała architektura, tereny zielone, ścieżki piesze) oraz obiektów infrastruktury kultury,</w:t>
      </w:r>
      <w:r>
        <w:br/>
        <w:t>b)</w:t>
      </w:r>
      <w:r>
        <w:tab/>
        <w:t>tworzenie, rozwój i udostępnianie oraz promocja parków kulturowych i szlaków kulturowych,</w:t>
      </w:r>
      <w:r>
        <w:br/>
        <w:t>c)</w:t>
      </w:r>
      <w:r>
        <w:tab/>
        <w:t>zachowanie, upowszechnianie i ochronę dziedzictwa niematerialnego,</w:t>
      </w:r>
      <w:r>
        <w:br/>
        <w:t>d)</w:t>
      </w:r>
      <w:r>
        <w:tab/>
        <w:t>działania na rzecz ochrony zabytków ruchomych (wyłącznie jako element projektów), tj.m.in.: konserwacja muzealiów, starodruków, archiwaliów, księgozbiorów oraz innych zabytków ruchomych wraz z dostosowaniem pomieszczeń do właściwego eksponowania i przechowywania zbiorów, ich zabezpieczenia i utrzymania właściwych warunków termicznych (klimatyzacja, urządzenia do sterowania wilgotnością i ogrzewania) oraz zakupem wyposażenia,</w:t>
      </w:r>
      <w:r>
        <w:br/>
        <w:t>e)</w:t>
      </w:r>
      <w:r>
        <w:tab/>
        <w:t>digitalizację dóbr kultury.</w:t>
      </w:r>
      <w:r>
        <w:br/>
        <w:t>2)</w:t>
      </w:r>
      <w:r>
        <w:tab/>
        <w:t>Szczegółowe zasady kwalifikowalności wydatków określone zostaną w Regulaminie wyboru projektów.</w:t>
      </w:r>
      <w:r>
        <w:br/>
        <w:t>3)</w:t>
      </w:r>
      <w:r>
        <w:tab/>
        <w:t>Realizowane przedsięwzięcia muszą zostać zidentyfikowane w strategii terytorialnej będącej podstawą realizacji IIT, pozytywnie zaopiniowanej pod kątem możliwości jej finansowania w ramach Programu, przez IZ.</w:t>
      </w:r>
      <w:r>
        <w:br/>
        <w:t>4)</w:t>
      </w:r>
      <w:r>
        <w:tab/>
        <w:t>Przedsięwzięcia infrastrukturalne w sektorze kultury ukierunkowane będą na rozwijanie aktywności społecznej m.in. poprzez tworzenie/adaptację/ dostosowanie budynków i przestrzeni do realizacji oferty kulturalno-edukacyjnej, rozwój innowacji społecznych.</w:t>
      </w:r>
      <w:r>
        <w:br/>
        <w:t>5)</w:t>
      </w:r>
      <w:r>
        <w:tab/>
        <w:t>Co do zasady wsparcie w sektorze kultury nie będzie obejmować budowy nowych obiektów. Taki rodzaj interwencji będzie dozwolony jedynie w wyjątkowych i należycie uzasadnionych przypadkach. Wyjątek od powyższej zasady dotyczy odtworzenia zabudowy zdegradowanej w stopniu uniemożliwiającym jej regenerację/renowację (zastąpienie starego budynku nowym). W takim przypadku, wnioskodawca zobowiązany będzie do przedstawienia wiarygodnych analiz potwierdzających, iż stopień zdegradowania budynku uniemożliwia jego regenerację/renowację, w tym analiz potwierdzających efektywność kosztową takiego rozwiązania. Za wiarygodną analizę uznana będzie ekspertyza techniczna wykonana przez osobę posiadającą tytuł rzeczoznawcy budowlanego nadany przez właściwy organ samorządu zawodowego.</w:t>
      </w:r>
      <w:r>
        <w:br/>
        <w:t>6) Renowacja, konserwacja, rewaloryzacja i restauracja obiektów zabytkowych (w tym pomników) nie może być pojedynczą interwencją, tylko musi stanowić część większego przedsięwzięcia, które wiąże rozwój kultury z rozwojem gospodarczym, włączeniem społecznym i innowacjami społecznymi w skali regionu lub lokalnej.</w:t>
      </w:r>
      <w:r>
        <w:br/>
        <w:t>7)</w:t>
      </w:r>
      <w:r>
        <w:tab/>
        <w:t>Zgodnie z rekomendacjami zawartymi w raporcie ETO 08/2020 oraz 27/2021 r. inwestycje w kulturę i turystykę będą respektować zasadę zrównoważonego oddziaływania na środowisko, potrzebę rozwoju cyfrowego, zasadę dostępności dla osób ze specjalnymi potrzebami, zasadę stabilności i efektywności finansowej (możliwość utrzymania się w długofalowej perspektywie) oraz odporności na kryzys (stosując innowacyjne rozwiązania, dywersyfikację przychodów i usług, digitalizację).</w:t>
      </w:r>
      <w:r>
        <w:br/>
        <w:t>8)</w:t>
      </w:r>
      <w:r>
        <w:tab/>
        <w:t>W ramach Działania przewidziano wsparcie działań społecznych obejmujących m.in. inwestycje na rzecz aktywnego włączenia społecznego. Wartość niniejszych zadań nie może przekroczyć 15% współfinansowania unijnego projektu.</w:t>
      </w:r>
      <w:r>
        <w:br/>
        <w:t>9)</w:t>
      </w:r>
      <w:r>
        <w:tab/>
        <w:t>Inwestycje w elementy infrastruktury drogowej (w tym w parkingi) mogą być wspierane pod warunkiem, że stanowią nieodłączny element większego projektu, nie są one dominującym elementem tego projektu a ich koszt nie przekracza 15% kosztów kwalifikowalnych projektu. W miastach projekty te nie mogą obejmować budowy nowych dróg lub parkingów oraz w odniesieniu do istniejących - zwiększenia ich pojemności lub przepustowości, ani nie mogą w żaden inny sposób przyczyniać się do zwiększenia natężenia ruchu samochodowego. Ograniczeniu temu podlegają wszelkie parkingi, w tym parkingi będące powierzchniami utwardzonymi, budowlami/budynkami.</w:t>
      </w:r>
      <w:r>
        <w:br/>
        <w:t>10)</w:t>
      </w:r>
      <w:r>
        <w:tab/>
        <w:t>Realizowane inwestycje w drogi publiczne, bez względu na kategorię drogi, po zakończeniu realizacji inwestycji, muszą zapewnić wymóg nośności drogi wynoszącej minimum 11,5 t na oś.</w:t>
      </w:r>
      <w:r>
        <w:br/>
        <w:t>11)</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12)</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13)</w:t>
      </w:r>
      <w:r>
        <w:tab/>
        <w:t>Inwestycje o komercyjnym charakterze, w szczególności wsparcie kierowane do przedsiębiorstw jako bezpośrednich beneficjentów oraz rentowne inwestycje podmiotów świadczących usługi sanatoryjne i/lub uzdrowiskowe, nie będą wspierane.</w:t>
      </w:r>
      <w:r>
        <w:br/>
        <w:t>14)  Inwestycje dot. zewnętrznego oświetlenia nie mogą stanowić dominującego elementu projektu.</w:t>
      </w:r>
    </w:p>
    <w:p w14:paraId="240F30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0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0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0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0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0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30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0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240F30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0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30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0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0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0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0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0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30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0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30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0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240F31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1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Partnerstwa, Przedsiębiorstwa, Służby publiczne</w:t>
      </w:r>
    </w:p>
    <w:p w14:paraId="240F31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1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gmin zmarginalizowanych i tracących funkcje społeczno-gospodarcze, mieszkańcy obszarów wiejskich, mieszkańcy regionu, w tym społeczności lokalne szczególnie zagrożone trwałą marginalizacją</w:t>
      </w:r>
    </w:p>
    <w:p w14:paraId="240F31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1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dziedzictwo_kulturowe, instytucja_kultury, kultura, muzeum, ochrona_zabytków, teatr, włączenie_społeczne, zabytki</w:t>
      </w:r>
    </w:p>
    <w:p w14:paraId="240F31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1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31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1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1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1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WLWK-PLRO141 - Liczba instytucji kultury objętych wsparciem</w:t>
      </w:r>
    </w:p>
    <w:p w14:paraId="240F31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31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240F31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31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WLWK-PLRO143 - Liczba utworzonych punktów informacji turystycznej i infokiosków zapewniających obsługę w min. 2 językach obcych</w:t>
      </w:r>
    </w:p>
    <w:p w14:paraId="240F31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31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31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31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WLWK-PLRO140 - Liczba wspartych obiektów o charakterze niezabytkowym</w:t>
      </w:r>
    </w:p>
    <w:p w14:paraId="240F31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31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WLWK-PLRO139 - Liczba zabytków nieruchomych objętych wsparciem</w:t>
      </w:r>
    </w:p>
    <w:p w14:paraId="240F31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WLWK-PLRO138 - Liczba zabytków ruchomych objętych wsparciem</w:t>
      </w:r>
    </w:p>
    <w:p w14:paraId="240F31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40F31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WLWK-RCO112 - Podmioty zaangażowane w przygotowanie i realizację strategii zintegrowanego rozwoju terytorialnego</w:t>
      </w:r>
    </w:p>
    <w:p w14:paraId="240F31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240F31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40F31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WLWK-RCO076 - Zintegrowane projekty rozwoju terytorialnego</w:t>
      </w:r>
    </w:p>
    <w:p w14:paraId="240F31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1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240F31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240F31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3120"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95" w:name="_Toc241668259"/>
      <w:r>
        <w:rPr>
          <w:rFonts w:ascii="Calibri" w:hAnsi="Calibri" w:cs="Calibri"/>
          <w:i w:val="0"/>
          <w:sz w:val="32"/>
        </w:rPr>
        <w:t>Priorytet FELU.12 Wsparcie wdrażania Funduszy Europejskich dla Lubelskiego 2021-2027 w ramach EFS+</w:t>
      </w:r>
      <w:bookmarkEnd w:id="95"/>
    </w:p>
    <w:p w14:paraId="240F31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31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31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31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240F31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31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 - Pomoc Techniczna</w:t>
      </w:r>
    </w:p>
    <w:p w14:paraId="240F31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31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31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31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33 556 399,00</w:t>
      </w:r>
    </w:p>
    <w:p w14:paraId="240F31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31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28 522 939,00</w:t>
      </w:r>
    </w:p>
    <w:p w14:paraId="240F31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31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31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130"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96" w:name="_Toc241668260"/>
      <w:r>
        <w:rPr>
          <w:rFonts w:ascii="Calibri" w:hAnsi="Calibri" w:cs="Calibri"/>
          <w:sz w:val="32"/>
        </w:rPr>
        <w:t>Działanie FELU.12.01 Wsparcie wdrażania Funduszy Europejskich dla Lubelskiego 2021-2027 w ramach EFS+</w:t>
      </w:r>
      <w:bookmarkEnd w:id="96"/>
    </w:p>
    <w:p w14:paraId="240F31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1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PT.1 - Pomoc Techniczna</w:t>
      </w:r>
    </w:p>
    <w:p w14:paraId="240F31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1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33 556 399,00</w:t>
      </w:r>
    </w:p>
    <w:p w14:paraId="240F31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1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28 522 939,00</w:t>
      </w:r>
    </w:p>
    <w:p w14:paraId="240F31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1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179 - Informacja i komunikacja, 180 - Przygotowanie, wdrażanie, monitorowanie i kontrola, 181 - Ewaluacja i badania, gromadzenie danych, 182 - Wzmocnienie potencjału instytucji państwa członkowskiego, beneficjentów i odpowiednich partnerów</w:t>
      </w:r>
    </w:p>
    <w:p w14:paraId="240F31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1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1.</w:t>
      </w:r>
      <w:r>
        <w:tab/>
        <w:t>Zatrudnienie pracowników zaangażowanych we wdrażanie Funduszy Europejskich dla Lubelskiego 2021-2027.</w:t>
      </w:r>
      <w:r>
        <w:br/>
        <w:t>W ramach tego typu projektu będą finansowane wynagrodzenia personelu zaangażowanego w zarządzanie i wdrażanie Programu, zamykanie RPO WL 2014-2020 oraz przygotowanie okresu programowania po roku 2027.</w:t>
      </w:r>
      <w:r>
        <w:br/>
        <w:t>2.</w:t>
      </w:r>
      <w:r>
        <w:tab/>
        <w:t>Wsparcie wdrażania Funduszy Europejskich dla Lubelskiego 2021-2027.</w:t>
      </w:r>
      <w:r>
        <w:br/>
        <w:t>W ramach tego typu projektu będą finansowane, m. in. następujące działania potrzebne do wsparcia wdrażania Programu:</w:t>
      </w:r>
      <w:r>
        <w:br/>
        <w:t>-</w:t>
      </w:r>
      <w:r>
        <w:tab/>
        <w:t>podnoszenie kwalifikacji zawodowych personelu zaangażowanego w realizację Programu;</w:t>
      </w:r>
      <w:r>
        <w:br/>
        <w:t>-</w:t>
      </w:r>
      <w:r>
        <w:tab/>
        <w:t>zapewnienie optymalnej organizacji pracy oraz zaplecza lokalowo-technicznego potrzebnych do realizacji Programu;</w:t>
      </w:r>
      <w:r>
        <w:br/>
        <w:t>-</w:t>
      </w:r>
      <w:r>
        <w:tab/>
        <w:t>zapewnienie wsparcia eksperckiego (doradztwo, analizy, badania itp.) i prawnego w procesach służących wdrażaniu Programu, ewaluacji na potrzeby Programu oraz we wdrażaniu zasad horyzontalnych;</w:t>
      </w:r>
      <w:r>
        <w:br/>
        <w:t>-</w:t>
      </w:r>
      <w:r>
        <w:tab/>
        <w:t>wsparcie funkcjonowania komitetów i ciał doradczych Programu, w szczególności Komitetu Monitorującego i grup roboczych, w tym partnerów społecznych i gospodarczych oraz podmiotów reprezentujących społeczeństwo obywatelskie i ciał dialogu społecznego uczestniczących we wdrażaniu Programu;</w:t>
      </w:r>
      <w:r>
        <w:br/>
        <w:t>-</w:t>
      </w:r>
      <w:r>
        <w:tab/>
        <w:t>zapobieganie, wykrywanie, korygowanie i raportowanie w obszarze nieprawidłowości i nadużyć finansowych oraz korupcji;</w:t>
      </w:r>
      <w:r>
        <w:br/>
        <w:t>-</w:t>
      </w:r>
      <w:r>
        <w:tab/>
        <w:t>wsparcie partnerów poprzez m.in. organizowanie specjalistycznych szkoleń; utworzenie Centrum ds. Obsługi Organizacji Społecznych;</w:t>
      </w:r>
      <w:r>
        <w:br/>
        <w:t>-</w:t>
      </w:r>
      <w:r>
        <w:tab/>
        <w:t>budowanie i zwiększenie zdolności administracyjnych jst i organów wdrażających strategie rozwoju terytorialnego i lokalnego, poprzez np. szkolenia i konsultacje eksperckie przy opracowaniu dokumentów strategicznych.</w:t>
      </w:r>
      <w:r>
        <w:br/>
        <w:t>3.</w:t>
      </w:r>
      <w:r>
        <w:tab/>
        <w:t xml:space="preserve">Wsparcie komunikacji i widoczności Programu oraz Funduszy Europejskich. </w:t>
      </w:r>
      <w:r>
        <w:br/>
        <w:t>W ramach tego typu projektu będą finansowane działania informacyjne i promocyjne dot. m.in. uruchomienia Programu, możliwości finansowania, a także prezentacji efektów wdrażania polityki spójności w regionie (np. prowadzenie kampanii dotyczących zapewnienia wysokiej świadomości nt. działań rozwojowych w regionie realizowanych z udziałem Funduszy Europejskich, korzyści z nich wynikających, wartości obowiązujących w całej UE, zasad horyzontalnych m.in. zasady niedyskryminacji – uwzględniających zwalczanie szkodliwych stereotypów dotyczących grup narażonych na dyskryminację, w tym osób LGBT+). Planowane działania będą obejmować wszystkie grupy docelowe, a wybór konkretnych kanałów i narzędzi będzie powiązany z wyznaczonymi celami – będą to m.in.:</w:t>
      </w:r>
      <w:r>
        <w:br/>
        <w:t>-</w:t>
      </w:r>
      <w:r>
        <w:tab/>
        <w:t>media o szerokim zasięgu,</w:t>
      </w:r>
      <w:r>
        <w:br/>
        <w:t>-</w:t>
      </w:r>
      <w:r>
        <w:tab/>
        <w:t>media społecznościowe,</w:t>
      </w:r>
      <w:r>
        <w:br/>
        <w:t>-</w:t>
      </w:r>
      <w:r>
        <w:tab/>
        <w:t>wydarzenia informacyjne i promocyjne,</w:t>
      </w:r>
      <w:r>
        <w:br/>
        <w:t>-</w:t>
      </w:r>
      <w:r>
        <w:tab/>
        <w:t xml:space="preserve">reklama zewnętrzna, </w:t>
      </w:r>
      <w:r>
        <w:br/>
        <w:t>-</w:t>
      </w:r>
      <w:r>
        <w:tab/>
        <w:t>publikacje i materiały audio-video,</w:t>
      </w:r>
      <w:r>
        <w:br/>
        <w:t>-</w:t>
      </w:r>
      <w:r>
        <w:tab/>
        <w:t>serwis internetowy Programu,</w:t>
      </w:r>
      <w:r>
        <w:br/>
        <w:t>-</w:t>
      </w:r>
      <w:r>
        <w:tab/>
        <w:t>działania edukacyjne dla potencjalnych beneficjentów i beneficjentów.</w:t>
      </w:r>
      <w:r>
        <w:br/>
        <w:t>Wszystkie powyższe działania realizowane w ww. typach projektów mogą dotyczyć bieżącego, a także poprzedniego i kolejnych okresów programowania.</w:t>
      </w:r>
    </w:p>
    <w:p w14:paraId="240F31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1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40F31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1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40F31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1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31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1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31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1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40F31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1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1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1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31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1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1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1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31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1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1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1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Służby publiczne</w:t>
      </w:r>
    </w:p>
    <w:p w14:paraId="240F31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1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beneficjenci i potencjalni beneficjenci Programu, instytucje systemu wdrażania, mieszkańcy województwa, partnerzy gospodarczy, partnerzy społeczni i środowisko organizacji społeczeństwa obywatelskiego, pracownicy instytucji uczestniczących w systemie realizacji Programu i wykonujących działania niezbędne do skutecznego wdrażania FE i ich wykorzystania</w:t>
      </w:r>
    </w:p>
    <w:p w14:paraId="240F31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1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pomoc_techniczna</w:t>
      </w:r>
    </w:p>
    <w:p w14:paraId="240F31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1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1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1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WLWK-PLRO158 - Liczba działań informacyjno-promocyjnych o szerokim zasięgu</w:t>
      </w:r>
    </w:p>
    <w:p w14:paraId="240F31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WLWK-PLRO155 - Liczba uczestników form szkoleniowych dla beneficjentów</w:t>
      </w:r>
    </w:p>
    <w:p w14:paraId="240F31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WLWK-PLRO150 - Liczba uczestników form szkoleniowych dla instytucji</w:t>
      </w:r>
    </w:p>
    <w:p w14:paraId="240F31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WLWK-PLRO149 - Średnioroczna liczba etatów finansowanych z Pomocy Technicznej</w:t>
      </w:r>
    </w:p>
    <w:p w14:paraId="240F31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1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240F31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315F"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97" w:name="_Toc241668261"/>
      <w:r>
        <w:rPr>
          <w:rFonts w:ascii="Calibri" w:hAnsi="Calibri" w:cs="Calibri"/>
          <w:i w:val="0"/>
          <w:sz w:val="32"/>
        </w:rPr>
        <w:t>Priorytet FELU.13 Wsparcie wdrażania Funduszy Europejskich dla Lubelskiego 2021-2027 w ramach EFRR</w:t>
      </w:r>
      <w:bookmarkEnd w:id="97"/>
    </w:p>
    <w:p w14:paraId="240F31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31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31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31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31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31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 - Pomoc Techniczna</w:t>
      </w:r>
    </w:p>
    <w:p w14:paraId="240F31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31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31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31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81 119 803,00</w:t>
      </w:r>
    </w:p>
    <w:p w14:paraId="240F31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31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68 951 832,00</w:t>
      </w:r>
    </w:p>
    <w:p w14:paraId="240F31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31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31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16F"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98" w:name="_Toc241668262"/>
      <w:r>
        <w:rPr>
          <w:rFonts w:ascii="Calibri" w:hAnsi="Calibri" w:cs="Calibri"/>
          <w:sz w:val="32"/>
        </w:rPr>
        <w:t>Działanie FELU.13.01 Wsparcie wdrażania Funduszy Europejskich dla Lubelskiego 2021-2027 w ramach EFRR</w:t>
      </w:r>
      <w:bookmarkEnd w:id="98"/>
    </w:p>
    <w:p w14:paraId="240F31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1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PT.1 - Pomoc Techniczna</w:t>
      </w:r>
    </w:p>
    <w:p w14:paraId="240F31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1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81 119 803,00</w:t>
      </w:r>
    </w:p>
    <w:p w14:paraId="240F31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1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68 951 832,00</w:t>
      </w:r>
    </w:p>
    <w:p w14:paraId="240F31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1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179 - Informacja i komunikacja, 180 - Przygotowanie, wdrażanie, monitorowanie i kontrola, 181 - Ewaluacja i badania, gromadzenie danych, 182 - Wzmocnienie potencjału instytucji państwa członkowskiego, beneficjentów i odpowiednich partnerów</w:t>
      </w:r>
    </w:p>
    <w:p w14:paraId="240F31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1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1.</w:t>
      </w:r>
      <w:r>
        <w:tab/>
        <w:t>Zatrudnienie pracowników zaangażowanych we wdrażanie Funduszy Europejskich dla Lubelskiego 2021-2027.</w:t>
      </w:r>
      <w:r>
        <w:br/>
        <w:t>W ramach tego typu projektu będą finansowane wynagrodzenia personelu zaangażowanego w zarządzanie i wdrażanie Programu, zamykanie RPO WL 2014-2020 oraz przygotowanie okresu programowania po roku 2027.</w:t>
      </w:r>
      <w:r>
        <w:br/>
        <w:t>2.</w:t>
      </w:r>
      <w:r>
        <w:tab/>
        <w:t>Wsparcie wdrażania Funduszy Europejskich dla Lubelskiego 2021-2027.</w:t>
      </w:r>
      <w:r>
        <w:br/>
        <w:t>W ramach tego typu projektu będą finansowane, m. in. następujące działania potrzebne do wsparcia wdrażania Programu:</w:t>
      </w:r>
      <w:r>
        <w:br/>
        <w:t>-</w:t>
      </w:r>
      <w:r>
        <w:tab/>
        <w:t>podnoszenie kwalifikacji zawodowych personelu zaangażowanego w realizację Programu;</w:t>
      </w:r>
      <w:r>
        <w:br/>
        <w:t>-</w:t>
      </w:r>
      <w:r>
        <w:tab/>
        <w:t>zapewnienie optymalnej organizacji pracy oraz zaplecza lokalowo-technicznego potrzebnych do realizacji Programu;</w:t>
      </w:r>
      <w:r>
        <w:br/>
        <w:t>-</w:t>
      </w:r>
      <w:r>
        <w:tab/>
        <w:t>zapewnienie wsparcia eksperckiego (doradztwo, analizy, badania itp.) i prawnego w procesach służących wdrażaniu Programu, ewaluacji na potrzeby Programu oraz we wdrażaniu zasad horyzontalnych;</w:t>
      </w:r>
      <w:r>
        <w:br/>
        <w:t>-</w:t>
      </w:r>
      <w:r>
        <w:tab/>
        <w:t>wsparcie funkcjonowania komitetów i ciał doradczych Programu, w szczególności Komitetu Monitorującego i grup roboczych, w tym partnerów społecznych i gospodarczych oraz podmiotów reprezentujących społeczeństwo obywatelskie i ciał dialogu społecznego uczestniczących we wdrażaniu Programu;</w:t>
      </w:r>
      <w:r>
        <w:br/>
        <w:t>-</w:t>
      </w:r>
      <w:r>
        <w:tab/>
        <w:t>zapobieganie, wykrywanie, korygowanie i raportowanie w obszarze nieprawidłowości i nadużyć finansowych oraz korupcji;</w:t>
      </w:r>
      <w:r>
        <w:br/>
        <w:t>-</w:t>
      </w:r>
      <w:r>
        <w:tab/>
        <w:t xml:space="preserve">wsparcie partnerów poprzez m.in. organizowanie specjalistycznych szkoleń; </w:t>
      </w:r>
      <w:r>
        <w:br/>
        <w:t>-</w:t>
      </w:r>
      <w:r>
        <w:tab/>
        <w:t>budowanie i zwiększenie zdolności administracyjnych jst i organów wdrażających strategie rozwoju terytorialnego i lokalnego,</w:t>
      </w:r>
      <w:r>
        <w:br/>
        <w:t xml:space="preserve"> poprzez np. szkolenia i konsultacje eksperckie przy opracowaniu dokumentów strategicznych.</w:t>
      </w:r>
      <w:r>
        <w:br/>
        <w:t>3.</w:t>
      </w:r>
      <w:r>
        <w:tab/>
        <w:t>Wsparcie komunikacji i widoczności Programu oraz Funduszy Europejskich.</w:t>
      </w:r>
      <w:r>
        <w:br/>
        <w:t>W ramach tego typu projektu będą finansowane działania informacyjne i promocyjne dot. m.in. uruchomienia Programu, możliwości finansowania, a także prezentacji efektów wdrażania polityki spójności w regionie (np. prowadzenie kampanii dotyczących zapewnienia wysokiej świadomości nt. działań rozwojowych w regionie realizowanych z udziałem Funduszy Europejskich, korzyści z nich wynikających, wartości obowiązujących w całej UE, zasad horyzontalnych m.in. zasady niedyskryminacji – uwzględniających zwalczanie szkodliwych stereotypów dotyczących grup narażonych na dyskryminację, w tym osób LGBT+). Planowane działania będą obejmować wszystkie grupy docelowe, a wybór konkretnych kanałów i narzędzi będzie powiązany z wyznaczonymi celami – będą to m.in.:</w:t>
      </w:r>
      <w:r>
        <w:br/>
        <w:t>-</w:t>
      </w:r>
      <w:r>
        <w:tab/>
        <w:t>media o szerokim zasięgu,</w:t>
      </w:r>
      <w:r>
        <w:br/>
        <w:t>-</w:t>
      </w:r>
      <w:r>
        <w:tab/>
        <w:t>media społecznościowe,</w:t>
      </w:r>
      <w:r>
        <w:br/>
        <w:t>-</w:t>
      </w:r>
      <w:r>
        <w:tab/>
        <w:t>wydarzenia informacyjne i promocyjne,</w:t>
      </w:r>
      <w:r>
        <w:br/>
        <w:t>-</w:t>
      </w:r>
      <w:r>
        <w:tab/>
        <w:t>reklama zewnętrzna,</w:t>
      </w:r>
      <w:r>
        <w:br/>
        <w:t>-</w:t>
      </w:r>
      <w:r>
        <w:tab/>
        <w:t>publikacje i materiały audio-video,</w:t>
      </w:r>
      <w:r>
        <w:br/>
        <w:t>-</w:t>
      </w:r>
      <w:r>
        <w:tab/>
        <w:t>serwis internetowy Programu,</w:t>
      </w:r>
      <w:r>
        <w:br/>
        <w:t>-</w:t>
      </w:r>
      <w:r>
        <w:tab/>
        <w:t>działania edukacyjne dla potencjalnych beneficjentów i beneficjentów.</w:t>
      </w:r>
      <w:r>
        <w:br/>
        <w:t>Wszystkie powyższe działania realizowane w ww. typach projektów mogą dotyczyć bieżącego, a także poprzedniego i kolejnych okresów programowania.</w:t>
      </w:r>
      <w:r>
        <w:br/>
      </w:r>
    </w:p>
    <w:p w14:paraId="240F31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1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40F31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1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40F31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1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31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1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31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1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40F31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1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1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1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31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1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1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1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40F31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1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1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1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Służby publiczne</w:t>
      </w:r>
    </w:p>
    <w:p w14:paraId="240F31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1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beneficjenci i potencjalni beneficjenci Programu, instytucje systemu wdrażania, mieszkańcy województwa, partnerzy gospodarczy, partnerzy społeczni i środowisko organizacji społeczeństwa obywatelskiego, pracownicy instytucji uczestniczących w systemie realizacji Programu i wykonujących działania niezbędne do skutecznego wdrażania FE i ich wykorzystania</w:t>
      </w:r>
    </w:p>
    <w:p w14:paraId="240F31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1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pomoc_techniczna</w:t>
      </w:r>
    </w:p>
    <w:p w14:paraId="240F31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1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1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1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WLWK-PLRO158 - Liczba działań informacyjno-promocyjnych o szerokim zasięgu</w:t>
      </w:r>
    </w:p>
    <w:p w14:paraId="240F31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WLWK-PLRO155 - Liczba uczestników form szkoleniowych dla beneficjentów</w:t>
      </w:r>
    </w:p>
    <w:p w14:paraId="240F31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WLWK-PLRO150 - Liczba uczestników form szkoleniowych dla instytucji</w:t>
      </w:r>
    </w:p>
    <w:p w14:paraId="240F31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WLWK-PLRO149 - Średnioroczna liczba etatów finansowanych z Pomocy Technicznej</w:t>
      </w:r>
    </w:p>
    <w:p w14:paraId="240F31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1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240F31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319E"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99" w:name="_Toc241668263"/>
      <w:r>
        <w:rPr>
          <w:rFonts w:ascii="Calibri" w:hAnsi="Calibri" w:cs="Calibri"/>
          <w:i w:val="0"/>
          <w:sz w:val="32"/>
        </w:rPr>
        <w:t>Priorytet FELU.14 Przemysł obronny</w:t>
      </w:r>
      <w:bookmarkEnd w:id="99"/>
    </w:p>
    <w:p w14:paraId="240F31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31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31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31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31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31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CP1 - Bardziej konkurencyjna i inteligentna Europa dzięki wspieraniu innowacyjnej i inteligentnej transformacji gospodarczej oraz regionalnej łączności cyfrowej</w:t>
      </w:r>
    </w:p>
    <w:p w14:paraId="240F31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31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31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31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31 578 948,00</w:t>
      </w:r>
    </w:p>
    <w:p w14:paraId="240F31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31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30 000 000,00</w:t>
      </w:r>
    </w:p>
    <w:p w14:paraId="240F31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31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31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240F31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31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1B0"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00" w:name="_Toc241668264"/>
      <w:r>
        <w:rPr>
          <w:rFonts w:ascii="Calibri" w:hAnsi="Calibri" w:cs="Calibri"/>
          <w:sz w:val="32"/>
        </w:rPr>
        <w:t>Działanie FELU.14.01 Wsparcie przedsiębiorstw w sektorze obronnym i bezpieczeństwa</w:t>
      </w:r>
      <w:bookmarkEnd w:id="100"/>
    </w:p>
    <w:p w14:paraId="240F31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1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EFRR.CP1.VII - Zwiększanie zdolności przemysłowych w celu wspierania zdolności obronnych, przy priorytetowym traktowaniu zdolności w zakresie technologii podwójnego zastosowania</w:t>
      </w:r>
    </w:p>
    <w:p w14:paraId="240F31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31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Lubelska Agencja Wspierania Przedsiębiorczości w Lublinie</w:t>
      </w:r>
    </w:p>
    <w:p w14:paraId="240F31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1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31 578 948,00</w:t>
      </w:r>
    </w:p>
    <w:p w14:paraId="240F31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1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30 000 000,00</w:t>
      </w:r>
    </w:p>
    <w:p w14:paraId="240F31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1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194 - Inwestycje produkcyjne w duże przedsiębiorstwa związane z obronnością i technologiami podwójnego zastosowania, 195 - Inwestycje produkcyjne w MŚP związane z obronnością i technologiami podwójnego zastosowania</w:t>
      </w:r>
    </w:p>
    <w:p w14:paraId="240F31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1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Wsparcie przedsiębiorstw, działających w branży bezpieczeństwa i obronności poprzez dofinansowanie projektów dotyczących linii produkcyjnych, zakupu technologii, produkcji i usług w zakresie bezpieczeństwa i obronności, w tym cyberbezpieczeństwa.</w:t>
      </w:r>
      <w:r>
        <w:br/>
        <w:t>2. Zwiększenie potencjału przemysłowego, usługowego przedsiębiorstw w celu wspierania produktów i usług podwójnego zastosowania.</w:t>
      </w:r>
      <w:r>
        <w:br/>
      </w:r>
      <w:r>
        <w:br/>
        <w:t>Kluczowe warunki realizacji projektów:</w:t>
      </w:r>
      <w:r>
        <w:br/>
        <w:t>1.</w:t>
      </w:r>
      <w:r>
        <w:tab/>
        <w:t>Szczegółowe zasady kwalifikowalności wydatków określone zostaną w Regulaminie wyboru projektów.</w:t>
      </w:r>
      <w:r>
        <w:br/>
        <w:t>2.</w:t>
      </w:r>
      <w:r>
        <w:tab/>
        <w:t>Wsparcie w ramach Działania nie może być udzielone w zakresie w jakim jest wykluczone w art. 1 ust. 2 - 5 Rozporządzenia Komisji (UE) NR 651/2014 z dnia 17 czerwca 2014 r. uznającym niektóre rodzaje pomocy za zgodne z rynkiem wewnętrznym w zastosowaniu art. 107 i 108 Traktatu oraz w art. 1 ust. 1 Rozporządzenia Komisji (UE) nr 2023/2831 z dnia 13 grudnia 2023 r. w sprawie stosowania art. 107 i 108 Traktatu o funkcjonowaniu Unii Europejskiej do pomocy de minimis.</w:t>
      </w:r>
      <w:r>
        <w:br/>
        <w:t>3.</w:t>
      </w:r>
      <w:r>
        <w:tab/>
        <w:t>Wsparcie działalności będzie skoncentrowane na kwestiach priorytetowych, istotnych z punktu widzenia wyzwań związanych z bezpieczeństwem regionu i kraju oraz przyszłością gospodarki.</w:t>
      </w:r>
      <w:r>
        <w:br/>
        <w:t>4.</w:t>
      </w:r>
      <w:r>
        <w:tab/>
        <w:t>Projekty muszą obejmować inwestycje w modernizację istniejących przedsiębiorstw w celu zwiększenia produkcji lub dywersyfikacji działalności w sektorze bezpieczeństwa cywilnego i obronności lub wytwarzającego produkty i usługi podwójnego zastosowania.</w:t>
      </w:r>
      <w:r>
        <w:br/>
        <w:t>5.</w:t>
      </w:r>
      <w:r>
        <w:tab/>
        <w:t xml:space="preserve">W ramach Działania nie ma możliwości wsparcia nabywania sprzętu wojskowego, amunicji i broni. </w:t>
      </w:r>
      <w:r>
        <w:br/>
        <w:t>6.</w:t>
      </w:r>
      <w:r>
        <w:tab/>
        <w:t>Preferowane będą inwestycje MŚP, projekty przyczyniające się do wzrostu zatrudnienia oraz projekty Wnioskodawców posiadających udokumentowane doświadczenie w zakresie działalności przemysłowej (produkcyjnej/usługowej) w obszarze obronności i bezpieczeństwa.</w:t>
      </w:r>
      <w:r>
        <w:br/>
        <w:t>7.</w:t>
      </w:r>
      <w:r>
        <w:tab/>
        <w:t>W ramach Działania premiowani będą wnioskodawcy wykazujący się doświadczeniem i/lub zaangażowaniem w prowadzone działania współpracy ponadregionalnej, transgranicznej lub ponadnarodowej.</w:t>
      </w:r>
      <w:r>
        <w:br/>
        <w:t>8.</w:t>
      </w:r>
      <w:r>
        <w:tab/>
        <w:t>Wsparcie w ramach Działania jest zgodne z Wytycznymi dotyczącymi realizacji zasad równościowych w ramach funduszy unijnych na lata 2021-2027.</w:t>
      </w:r>
      <w:r>
        <w:br/>
      </w:r>
    </w:p>
    <w:p w14:paraId="240F31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1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1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1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1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1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31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1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31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1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40F31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1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1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1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31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1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Projekty w części objętej pomocą publiczną: zgodnie z programami pomocy publicznej; Projekty w części objętej pomocą de minimis: zgodnie z Regulaminem wyboru projektów, jednakże nie mniej niż 5 %</w:t>
      </w:r>
    </w:p>
    <w:p w14:paraId="240F31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1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31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1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1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1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Przedsiębiorstwa</w:t>
      </w:r>
    </w:p>
    <w:p w14:paraId="240F31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1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publiczne, mieszkańcy regionu korzystający z rezultatów projektu, przedsiębiorcy</w:t>
      </w:r>
    </w:p>
    <w:p w14:paraId="240F31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1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 dual-use, innowacja, technologia, technologie_krytyczne, technologie_podwójnego_zastosowania, zdolności_obronne</w:t>
      </w:r>
    </w:p>
    <w:p w14:paraId="240F31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1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31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1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1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1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40F31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240F31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240F31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240F31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240F31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WLWK-RCO128 - Przedsiębiorstwa objęte wsparciem, związane głównie ze wspieraniem zdolności w zakresie technologii podwójnego zastosowania i zdolności obronnych</w:t>
      </w:r>
    </w:p>
    <w:p w14:paraId="240F31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1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WLWK-PLRR028 - Liczba wprowadzonych innowacji produktowych</w:t>
      </w:r>
    </w:p>
    <w:p w14:paraId="240F31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WLWK-PLRR024 - Małe i średnie przedsiębiorstwa (MŚP) wprowadzające innowacje produktowe</w:t>
      </w:r>
    </w:p>
    <w:p w14:paraId="240F31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240F31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WLWK-RCR005 - MŚP wprowadzające innowacje wewnątrz przedsiębiorstwa</w:t>
      </w:r>
    </w:p>
    <w:p w14:paraId="240F31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WLWK-PLRR033 - Przychody ze sprzedaży nowych lub udoskonalonych produktów/usług</w:t>
      </w:r>
    </w:p>
    <w:p w14:paraId="240F31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40F31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31EA"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101" w:name="_Toc241668265"/>
      <w:r>
        <w:rPr>
          <w:rFonts w:ascii="Calibri" w:hAnsi="Calibri" w:cs="Calibri"/>
          <w:i w:val="0"/>
          <w:sz w:val="32"/>
        </w:rPr>
        <w:t>Priorytet FELU.15 Bezpieczeństwo wodne</w:t>
      </w:r>
      <w:bookmarkEnd w:id="101"/>
    </w:p>
    <w:p w14:paraId="240F31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31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31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31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31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31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CP2 -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240F31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31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31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31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36 829 818,00</w:t>
      </w:r>
    </w:p>
    <w:p w14:paraId="240F31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31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34 988 327,00</w:t>
      </w:r>
    </w:p>
    <w:p w14:paraId="240F31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31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31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1FA"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02" w:name="_Toc241668266"/>
      <w:r>
        <w:rPr>
          <w:rFonts w:ascii="Calibri" w:hAnsi="Calibri" w:cs="Calibri"/>
          <w:sz w:val="32"/>
        </w:rPr>
        <w:t>Działanie FELU.15.01 Bezpieczna i odporna infrastruktura wodno-kanalizacyjna</w:t>
      </w:r>
      <w:bookmarkEnd w:id="102"/>
    </w:p>
    <w:p w14:paraId="240F31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1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 - Wspieranie bezpiecznego dostępu do wody, zrównoważonej gospodarki wodnej obejmującej zintegrowane zarządzanie wodą, a także odporności wodnej</w:t>
      </w:r>
    </w:p>
    <w:p w14:paraId="240F31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1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36 829 818,00</w:t>
      </w:r>
    </w:p>
    <w:p w14:paraId="240F31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2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34 988 327,00</w:t>
      </w:r>
    </w:p>
    <w:p w14:paraId="240F32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2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058 - Działania w zakresie przystosowania się do zmian klimatu oraz zapobieganie ryzykom związanym z klimatem i zarządzanie nimi: powodzie i osunięcia ziemi (w tym zwiększanie świadomości, ochrona ludności i systemy zarządzania klęskami żywiołowymi i katastrofami, infrastruktura i podejście ekosystemowe), 197 - Ochrona infrastruktury krytycznej</w:t>
      </w:r>
    </w:p>
    <w:p w14:paraId="240F32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2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projektu:</w:t>
      </w:r>
      <w:r>
        <w:br/>
        <w:t>1.</w:t>
      </w:r>
      <w:r>
        <w:tab/>
        <w:t>Budowa/przebudowa/remont ujęć wody, stacji uzdatniania wody, sieci wodociągowych i kanalizacyjnych, oczyszczalni oraz doposażanie tej infrastruktury w rozwiązania zwiększające bezpieczeństwo, cyberbezpieczeństwo i niezawodność (zwłaszcza w sytuacjach kryzysowych).</w:t>
      </w:r>
      <w:r>
        <w:br/>
        <w:t>2.</w:t>
      </w:r>
      <w:r>
        <w:tab/>
        <w:t>Wsparcie szpitali i innych budynków użyteczności publicznej w zakresie zapewnienia źródeł zaopatrzenia w wodę, w tym w infrastrukturę do ujmowania wody, na wypadek awarii/sytuacji kryzysowej.</w:t>
      </w:r>
      <w:r>
        <w:br/>
        <w:t>3.</w:t>
      </w:r>
      <w:r>
        <w:tab/>
        <w:t>Inwestycje w technologie i systemy informatyczne dotyczące zarządzania wodą, w tym cyberbezpieczeństwo.</w:t>
      </w:r>
      <w:r>
        <w:br/>
      </w:r>
      <w:r>
        <w:br/>
        <w:t>Kluczowe warunki realizacji projektów:</w:t>
      </w:r>
      <w:r>
        <w:br/>
        <w:t>1.</w:t>
      </w:r>
      <w:r>
        <w:tab/>
        <w:t>Szczegółowe zasady kwalifikowalności wydatków określone zostaną w Regulaminie wyboru projektów.</w:t>
      </w:r>
      <w:r>
        <w:br/>
        <w:t>2.</w:t>
      </w:r>
      <w:r>
        <w:tab/>
        <w:t>Wsparcie mogą uzyskać projekty wpływające na zwiększenie bezpieczeństwa i odporności infrastruktury wodno-kanalizacyjnej województwa lubelskiego.</w:t>
      </w:r>
      <w:r>
        <w:br/>
        <w:t>3.</w:t>
      </w:r>
      <w:r>
        <w:tab/>
        <w:t>W zakresie gospodarki ściekowej wsparcie będą mogły uzyskać wyłącznie inwestycje wskazane w KPOŚK, realizowane w aglomeracjach od co najmniej 2 tys. do poniżej 15 tys. RLM ujętych w KPOŚK, które nie spełniają wymogów Dyrektywy Rady z dnia 21 maja 1991 r. dotyczącej oczyszczania ścieków komunalnych. W przypadku zmiany aglomeracji zgodność z wymogami ww. Dyrektywy weryfikowana będzie w oparciu o informacje zawarte w sprawozdaniu z realizacji KPOŚK i/lub na podstawie aktualnej uchwały w sprawie wyznaczenia aglomeracji.</w:t>
      </w:r>
      <w:r>
        <w:br/>
        <w:t>4.</w:t>
      </w:r>
      <w:r>
        <w:tab/>
        <w:t>W przypadku budowy/przebudowy/remontu oczyszczalni ścieków i/lub kanalizacji sanitarnej, po zakończeniu realizacji projektu inwestycyjnego i oddaniu do użytkowania, muszą zostać spełnione wymagania Dyrektywy Rady 91/271/EWG dotyczącej oczyszczania ścieków komunalnych (Dyrektywa ściekowa) oraz Rozporządzenia z dnia 12 lipca 2019 r. Ministra Gospodarki Morskiej i Żeglugi Śródlądowej w sprawie substancji szczególnie szkodliwych dla środowiska wodnego oraz warunków, jakie należy spełnić przy wprowadzaniu do wód lub do ziemi ścieków, a także przy odprowadzaniu wód opadowych lub roztopowych do wód lub urządzeń wodnych, w tym ścieki zbierane z wykorzystaniem infrastruktury wspartej w projekcie muszą być odprowadzane wyłącznie do oczyszczalni, która spełnia wymagania ww. Dyrektywy ściekowej oraz rozporządzenia.</w:t>
      </w:r>
      <w:r>
        <w:br/>
        <w:t>5.</w:t>
      </w:r>
      <w:r>
        <w:tab/>
        <w:t>Działania z zakresu gospodarki zasobami wodnymi muszą być zgodne z art. 1 Dyrektywy Parlamentu Europejskiego i Rady 2000/60/WE z dnia 23 października 2000 r. ustanawiającej ramy wspólnotowego działania w dziedzinie polityki wodnej.</w:t>
      </w:r>
    </w:p>
    <w:p w14:paraId="240F32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2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2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2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2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2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32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2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32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2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32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2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2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2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32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2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32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2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32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2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2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2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 Przedsiębiorstwa, Przedsiębiorstwa realizujące cele publiczne, Służby publiczne</w:t>
      </w:r>
    </w:p>
    <w:p w14:paraId="240F32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2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regionu korzystający z rezultatów projektu, mieszkańcy województwa</w:t>
      </w:r>
    </w:p>
    <w:p w14:paraId="240F32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2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 gospodarka_ściekowa, infrastruktura_krytyczna, ochrona_wód, sieć_kanalizacyjna, sieci_wodociagowe, stacja_uzdatniania_wody, susza, sytuacja_kryzysowa, zaopatrzenie_w_wodę</w:t>
      </w:r>
    </w:p>
    <w:p w14:paraId="240F32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2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240F32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2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2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2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WLWK-PLRO047 - Długość wybudowanej sieci kanalizacyjnej</w:t>
      </w:r>
    </w:p>
    <w:p w14:paraId="240F32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WLWK-PLRO045 - Długość wybudowanej sieci wodociągowej</w:t>
      </w:r>
    </w:p>
    <w:p w14:paraId="240F32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WLWK-PLRO048 - Długość zmodernizowanej sieci kanalizacyjnej</w:t>
      </w:r>
    </w:p>
    <w:p w14:paraId="240F32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WLWK-PLRO046 - Długość zmodernizowanej sieci wodociągowej</w:t>
      </w:r>
    </w:p>
    <w:p w14:paraId="240F32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WLWK-PLRO056 - Liczba doposażonych stacji uzdatniania wody</w:t>
      </w:r>
    </w:p>
    <w:p w14:paraId="240F32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32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WLWK-PLRO233 - Liczba przebudowanych / zmodernizowanych  ujęć wody</w:t>
      </w:r>
    </w:p>
    <w:p w14:paraId="240F32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WLWK-PLRO055 - Liczba przebudowanych stacji uzdatniania wody</w:t>
      </w:r>
    </w:p>
    <w:p w14:paraId="240F32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WLWK-PLRO052 - Liczba rozbudowanych / przebudowanych / zmodernizowanych oczyszczalni ścieków komunalnych</w:t>
      </w:r>
    </w:p>
    <w:p w14:paraId="240F32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WLWK-PLRO051 - Liczba wybudowanych oczyszczalni ścieków komunalnych</w:t>
      </w:r>
    </w:p>
    <w:p w14:paraId="240F32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WLWK-PLRO054 - Liczba wybudowanych stacji uzdatniania wody</w:t>
      </w:r>
    </w:p>
    <w:p w14:paraId="240F32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WLWK-PLRO232 - Liczba wybudowanych ujęć wody</w:t>
      </w:r>
    </w:p>
    <w:p w14:paraId="240F32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WLWK-RCO032 - Wydajność nowo wybudowanych lub zmodernizowanych instalacji oczyszczania ścieków</w:t>
      </w:r>
    </w:p>
    <w:p w14:paraId="240F32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2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WLWK-PLRR038 - Ludność podłączona do wybudowanej lub zmodernizowanej zbiorczej kanalizacji sanitarnej</w:t>
      </w:r>
    </w:p>
    <w:p w14:paraId="240F32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WLWK-RCR041 - Ludność przyłączona do udoskonalonych zbiorowych systemów zaopatrzenia w wodę</w:t>
      </w:r>
    </w:p>
    <w:p w14:paraId="240F32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WLWK-RCR042 - Ludność przyłączona do zbiorowych systemów oczyszczania ścieków co najmniej II stopnia</w:t>
      </w:r>
    </w:p>
    <w:p w14:paraId="240F32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WLWK-RCR043 - Straty wody w zbiorowych systemach zaopatrzenia w wodę</w:t>
      </w:r>
    </w:p>
    <w:p w14:paraId="240F32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WLWK-PLRR018 - Wielkość ładunku ścieków poddanych ulepszonemu oczyszczaniu</w:t>
      </w:r>
    </w:p>
    <w:p w14:paraId="240F32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PROG-FELCR06 - Ludność podłączona do nowowybudowanych zbiorowych systemów zaopatrzenia w wodę</w:t>
      </w:r>
    </w:p>
    <w:p w14:paraId="240F32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3239"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103" w:name="_Toc241668267"/>
      <w:r>
        <w:rPr>
          <w:rFonts w:ascii="Calibri" w:hAnsi="Calibri" w:cs="Calibri"/>
          <w:i w:val="0"/>
          <w:sz w:val="32"/>
        </w:rPr>
        <w:t>Priorytet FELU.16 Odporna infrastruktura krytyczna</w:t>
      </w:r>
      <w:bookmarkEnd w:id="103"/>
    </w:p>
    <w:p w14:paraId="240F32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323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32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32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40F32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32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CP3 - Lepiej połączona Europa dzięki zwiększeniu mobilności</w:t>
      </w:r>
    </w:p>
    <w:p w14:paraId="240F32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32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32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32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131 668 790,00</w:t>
      </w:r>
    </w:p>
    <w:p w14:paraId="240F32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32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125 085 350,00</w:t>
      </w:r>
    </w:p>
    <w:p w14:paraId="240F32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32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32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249"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04" w:name="_Toc241668268"/>
      <w:r>
        <w:rPr>
          <w:rFonts w:ascii="Calibri" w:hAnsi="Calibri" w:cs="Calibri"/>
          <w:sz w:val="32"/>
        </w:rPr>
        <w:t>Działanie FELU.16.01 Wsparcie odpornej infrastruktury ochrony zdrowia</w:t>
      </w:r>
      <w:bookmarkEnd w:id="104"/>
    </w:p>
    <w:p w14:paraId="240F32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2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EFRR/FS.CP3.III - Rozwój odpornej infrastruktury obronnej, przy priorytetowym traktowaniu infrastruktury podwójnego zastosowania, w tym w celu wspierania mobilności wojskowej w Unii, oraz zwiększanie gotowości cywilnej</w:t>
      </w:r>
    </w:p>
    <w:p w14:paraId="240F32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2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131 668 790,00</w:t>
      </w:r>
    </w:p>
    <w:p w14:paraId="240F32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2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125 085 350,00</w:t>
      </w:r>
    </w:p>
    <w:p w14:paraId="240F32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2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197 - Ochrona infrastruktury krytycznej</w:t>
      </w:r>
    </w:p>
    <w:p w14:paraId="240F32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2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Wsparcie krytycznej na poziomie lokalnym/regionalnym infrastruktury szpitali i ratownictwa medycznego w zakresie przygotowania na wypadek sytuacji kryzysowej lub konfliktu zbrojnego, w tym inwestycje w sprzęt, wyposażenie medyczne, magazyny z wyposażeniem związane z przygotowaniem do sytuacji kryzysowych.</w:t>
      </w:r>
      <w:r>
        <w:br/>
        <w:t>2. Zwiększenie poziomu cyberbezpieczeństwa infrastruktury IT w szpitalach i ratownictwie medycznym.</w:t>
      </w:r>
      <w:r>
        <w:br/>
      </w:r>
      <w:r>
        <w:br/>
        <w:t>Kluczowe warunki realizacji projektów:</w:t>
      </w:r>
      <w:r>
        <w:br/>
        <w:t>1.</w:t>
      </w:r>
      <w:r>
        <w:tab/>
        <w:t xml:space="preserve">W ramach naboru prowadzonego w sposób konkurencyjny podmiotami uprawnionymi do aplikowania o wsparcie będą podmioty lecznicze wykonujące działalność leczniczą w rodzaju świadczenia szpitalne, dla których podmiotem tworzącym lub prowadzącym jest Samorząd Województwa Lubelskiego lub jednostka samorządu powiatowego na terenie województwa lubelskiego. </w:t>
      </w:r>
      <w:r>
        <w:br/>
        <w:t>2.     Szczegółowe zasady kwalifikowalności wydatków określone zostaną w Regulaminie wyboru projektów.</w:t>
      </w:r>
      <w:r>
        <w:br/>
        <w:t>3.</w:t>
      </w:r>
      <w:r>
        <w:tab/>
        <w:t>Do dofinansowania kwalifikują się projekty wpływające na zwiększenie bezpieczeństwa i obronności infrastruktury ochrony zdrowia województwa lubelskiego, w tym zawierające rozwiązania zapewniające ciągłość świadczeń na wypadek sytuacji kryzysowej lub konfliktu zbrojnego.</w:t>
      </w:r>
      <w:r>
        <w:br/>
        <w:t>4.</w:t>
      </w:r>
      <w:r>
        <w:tab/>
        <w:t>Do dofinansowania mogą kwalifikować się projekty obejmujące rozwiązania charakterystyczne dla infrastruktury podwójnego zastosowania.</w:t>
      </w:r>
      <w:r>
        <w:br/>
        <w:t>5.</w:t>
      </w:r>
      <w:r>
        <w:tab/>
        <w:t>Realizowane inwestycje muszą być zgodne z Programem Ochrony Ludności i Obrony Cywilnej na lata 2025-2026 (oraz jego późniejszymi aktualizacjami) oraz Wojewódzkim Planem Zarządzania Kryzysowego z załącznikami (oraz jego późniejszymi aktualizacjami).</w:t>
      </w:r>
      <w:r>
        <w:br/>
        <w:t>6.</w:t>
      </w:r>
      <w:r>
        <w:tab/>
        <w:t>Warunkiem wsparcia projektów w ramach przedmiotowego Działania będzie posiadanie przez wnioskodawcę pozytywnej opinii wojewody w zakresie zgodności projektu z dokumentami wymienionymi w pkt 5.</w:t>
      </w:r>
      <w:r>
        <w:br/>
        <w:t>7.</w:t>
      </w:r>
      <w:r>
        <w:tab/>
        <w:t>Projekty muszą być zgodne z Mapą potrzeb zdrowotnych, z celami zdefiniowanymi w dokumencie „Zdrowa Przyszłość. Ramy Strategiczne Rozwoju Systemu Ochrony Zdrowia na lata 2021-2027, z perspektywą do 2030 r.” oraz z Wojewódzkim Planem Transformacji.</w:t>
      </w:r>
      <w:r>
        <w:br/>
        <w:t>8.</w:t>
      </w:r>
      <w:r>
        <w:tab/>
        <w:t>Wsparciem objęte będą podmioty udzielające świadczeń opieki zdrowotnej ze środków publicznych, a infrastruktura wytworzona w ramach projektu musi być wykorzystywana na rzecz udzielania świadczeń opieki zdrowotnej finansowanych ze środków publicznych.</w:t>
      </w:r>
      <w:r>
        <w:br/>
        <w:t>9.</w:t>
      </w:r>
      <w:r>
        <w:tab/>
        <w:t>W przypadku projektów w zakresie cyberbezpieczeństwa wsparciem będą objęte wyłącznie projekty zapewniające adekwatny poziom cyberbezpieczeństwa umożliwiający ochronę wrażliwych danych pacjentów i infrastruktury przed cyberzagrożeniami. Zakres  i zasady realizacji projektów mających na celu zwiększenie poziomu cyberbezpieczeństwa infrastruktury IT oraz budowania świadomości obywateli muszą spełniać warunki i standardy cyberbezpieczeństwa  określone w ustawie z dnia 23 stycznia 2026 r. o zmianie ustawy o krajowym systemie cyberbezpieczeństwa oraz niektórych innych ustaw (Dz. U. z 2026 r., poz.252).</w:t>
      </w:r>
      <w:r>
        <w:br/>
        <w:t>10.</w:t>
      </w:r>
      <w:r>
        <w:tab/>
        <w:t>W przypadku projektów z zakresu ratownictwa medycznego warunkiem udzielenia wsparcia będzie zgodność z Planem działania systemu Państwowe Ratownictwo Medyczne dla województwa lubelskiego, oraz zgodność projektu z obowiązującymi przepisami prawa z zakresu ratownictwa medycznego.</w:t>
      </w:r>
      <w:r>
        <w:br/>
        <w:t>11.</w:t>
      </w:r>
      <w:r>
        <w:tab/>
        <w:t>Projekty planowane do wsparcia muszą posiadać stosowną opinię o celowości inwestycji (OCI) - jeśli dotyczy.</w:t>
      </w:r>
      <w:r>
        <w:br/>
        <w:t>12.</w:t>
      </w:r>
      <w:r>
        <w:tab/>
        <w:t>Zakres  i warunki wsparcia w projektach w obszarze zdrowia będą oceniane z uwzględnieniem właściwych rekomendacji Komitetu Sterującego do spraw koordynacji wsparcia w sektorze zdrowia.</w:t>
      </w:r>
    </w:p>
    <w:p w14:paraId="240F32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2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2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2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2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2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32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2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240F32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2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40F32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2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2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2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F32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2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Projekty w części objętej pomocą publiczną: zgodnie z programami pomocy publicznej</w:t>
      </w:r>
    </w:p>
    <w:p w14:paraId="240F32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2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40F32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2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2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2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ochrony zdrowia</w:t>
      </w:r>
    </w:p>
    <w:p w14:paraId="240F32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2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korzystające z rezultatów projektu oraz ich pracownicy, mieszkańcy województwa</w:t>
      </w:r>
    </w:p>
    <w:p w14:paraId="240F32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2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 cyberbezpieczeństwo, infrastruktura_krytyczna, infrastruktura_ochrony_zdrowia, sprzęt_medyczny, sytuacja_kryzysowa, szpitale, usługi_zdrowotne, zdrowie</w:t>
      </w:r>
    </w:p>
    <w:p w14:paraId="240F32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2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2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2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40F32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WLWK-PLRO014 - Liczba podmiotów wspartych w zakresie cyberbezpieczeństwa</w:t>
      </w:r>
    </w:p>
    <w:p w14:paraId="240F32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40F32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WLWK-PLRO134 - Liczba wspartych podmiotów działających w ramach systemu Państwowego Ratownictwa Medycznego</w:t>
      </w:r>
    </w:p>
    <w:p w14:paraId="240F32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WLWK-PLRO204 - Liczba wspartych podmiotów leczniczych udzielających świadczeń w zakresie innym niż POZ, AOS, psychiatrii na I i II poziomie referencyjnym</w:t>
      </w:r>
    </w:p>
    <w:p w14:paraId="240F327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2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WLWK-RCR073 - Roczna liczba użytkowników nowych lub zmodernizowanych placówek opieki zdrowotnej</w:t>
      </w:r>
    </w:p>
    <w:p w14:paraId="240F32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PROG-FELCR021 - Wartość wydatków kwalifikowalnych projektów z zakresu obronności</w:t>
      </w:r>
    </w:p>
    <w:p w14:paraId="240F32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327A"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105" w:name="_Toc241668269"/>
      <w:r>
        <w:rPr>
          <w:rFonts w:ascii="Calibri" w:hAnsi="Calibri" w:cs="Calibri"/>
          <w:i w:val="0"/>
          <w:sz w:val="32"/>
        </w:rPr>
        <w:t>Priorytet FELU.17 Obronność i bezpieczeństwo EFS+</w:t>
      </w:r>
      <w:bookmarkEnd w:id="105"/>
    </w:p>
    <w:p w14:paraId="240F32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32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32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32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240F32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32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240F32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32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32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32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51 943 986,00</w:t>
      </w:r>
    </w:p>
    <w:p w14:paraId="240F32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32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49 346 789,00</w:t>
      </w:r>
    </w:p>
    <w:p w14:paraId="240F32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32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32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28A"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06" w:name="_Toc241668270"/>
      <w:r>
        <w:rPr>
          <w:rFonts w:ascii="Calibri" w:hAnsi="Calibri" w:cs="Calibri"/>
          <w:sz w:val="32"/>
        </w:rPr>
        <w:t>Działanie FELU.17.01 Aktywizacja zawodowa w zakresie obronności i bezpieczeństwa</w:t>
      </w:r>
      <w:bookmarkEnd w:id="106"/>
    </w:p>
    <w:p w14:paraId="240F32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2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240F32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32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32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2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4 009 580,00</w:t>
      </w:r>
    </w:p>
    <w:p w14:paraId="240F32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2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3 809 101,00</w:t>
      </w:r>
    </w:p>
    <w:p w14:paraId="240F32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2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134 - Działania na rzecz poprawy dostępu do zatrudnienia</w:t>
      </w:r>
    </w:p>
    <w:p w14:paraId="240F32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2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Aktywizacja zawodowa osób bezrobotnych, biernych zawodowo, poszukujących pracy w zakresie obronności, mająca na celu podniesienie kompetencji i umiejętności oraz nabycie kwalifikacji i zwiększenie szans na znalezienie zatrudnienia w przemyśle obronnym, w tym w odniesieniu do zdolności w zakresie technologii podwójnego zastosowania (dual use).</w:t>
      </w:r>
      <w:r>
        <w:br/>
        <w:t>Kluczowe warunki realizacji projektów:</w:t>
      </w:r>
      <w:r>
        <w:br/>
        <w:t>Każdorazowo do ogłoszonego naboru projektów ION określi szczegółowe zasady realizacji wsparcia.</w:t>
      </w:r>
      <w:r>
        <w:br/>
        <w:t>1.</w:t>
      </w:r>
      <w:r>
        <w:tab/>
        <w:t>Projekty realizowane będą zgodnie z:</w:t>
      </w:r>
      <w:r>
        <w:br/>
        <w:t>a)</w:t>
      </w:r>
      <w:r>
        <w:tab/>
        <w:t>Wytycznymi dotyczącymi kwalifikowalności wydatków na lata 2021-2027,</w:t>
      </w:r>
      <w:r>
        <w:br/>
        <w:t>b)</w:t>
      </w:r>
      <w:r>
        <w:tab/>
        <w:t>Wytycznymi dotyczącymi realizacji projektów z udziałem środków Europejskiego Funduszu Społecznego Plus w regionalnych programach na lata 2021–2027,</w:t>
      </w:r>
      <w:r>
        <w:br/>
        <w:t>c)</w:t>
      </w:r>
      <w:r>
        <w:tab/>
        <w:t>Wytycznymi dotyczącymi realizacji zasad równościowych w ramach funduszy unijnych na lata 2021-2027,</w:t>
      </w:r>
      <w:r>
        <w:br/>
        <w:t>d)</w:t>
      </w:r>
      <w:r>
        <w:tab/>
        <w:t>Wytycznymi dotyczącymi monitorowania postępu rzeczowego realizacji programów na lata 2021-2027,</w:t>
      </w:r>
      <w:r>
        <w:br/>
        <w:t>e)</w:t>
      </w:r>
      <w:r>
        <w:tab/>
        <w:t>Wytycznymi dotyczącymi wyboru projektów na lata 2021-2027</w:t>
      </w:r>
      <w:r>
        <w:br/>
        <w:t>f)</w:t>
      </w:r>
      <w:r>
        <w:tab/>
        <w:t>Ustawą z dnia 20 marca 2025 r. o rynku pracy i służbach zatrudnienia.</w:t>
      </w:r>
      <w:r>
        <w:br/>
        <w:t>2.</w:t>
      </w:r>
      <w:r>
        <w:tab/>
        <w:t>Udzielenie wsparcia każdorazowo jest poprzedzone identyfikacją potrzeb uczestnika projektu (w tym m.in. poprzez diagnozowanie potrzeb szkoleniowych, możliwości doskonalenia zawodowego) oraz opracowaniem lub aktualizacją dla każdego uczestnika projektu Indywidualnego Planu Działania, o którym mowa w art. 88 ustawy z dnia 20 marca 2025 r. o rynku pracy i służbach zatrudnienia lub innego dokumentu pełniącego analogiczną funkcję. Dokument ten powinien określać zakres wsparcia udzielanego danej osobie, który jest z nią uzgodniony i podlega ewentualnej aktualizacji w trakcie projektu.</w:t>
      </w:r>
      <w:r>
        <w:br/>
        <w:t>3.</w:t>
      </w:r>
      <w:r>
        <w:tab/>
        <w:t>Wsparcie udzielane w ramach projektów jest dostosowane do indywidualnych potrzeb uczestników projektów, wynikających z ich wiedzy, umiejętności i kompetencji oraz kwalifikacji do wykonywania danego zawodu. Każdy z uczestników projektu musi otrzymać ofertę wsparcia, obejmującą takie formy pomocy, które zostaną zidentyfikowane u niego jako niezbędne w celu poprawy sytuacji na rynku pracy lub uzyskania zatrudnienia w przemyśle obronnym, w tym w odniesieniu do zdolności w zakresie technologii podwójnego zastosowania (dual use).</w:t>
      </w:r>
      <w:r>
        <w:br/>
        <w:t>4.</w:t>
      </w:r>
      <w:r>
        <w:tab/>
        <w:t>Nie będą realizowane działania służące rozwojowi przedsiębiorczości i samozatrudnienia.</w:t>
      </w:r>
      <w:r>
        <w:br/>
        <w:t>5.</w:t>
      </w:r>
      <w:r>
        <w:tab/>
        <w:t>Dopuszczalne jest wsparcie w zakresie infrastruktury i wyposażenia, w tym wydatków w ramach cross-financingu i/lub zakupu środków trwałych jedynie w sytuacji, gdy będzie ono wykorzystywane do realizacji zaplanowanych w projekcie szkoleń. Sprzęt jest możliwy do sfinansowania w ramach projektu, tylko w przypadku, gdy pomaga nabyć kwalifikacje i/lub uzyskać/podnieść kompetencje/ umiejętności uczestników.</w:t>
      </w:r>
      <w:r>
        <w:br/>
        <w:t>6.</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7.</w:t>
      </w:r>
      <w:r>
        <w:tab/>
        <w:t>W ramach realizowanych projektów beneficjent zapewnia przejrzystość procesu rekrutacji oraz warunków realizacji poszczególnych form wsparcia.</w:t>
      </w:r>
      <w:r>
        <w:br/>
        <w:t>8.</w:t>
      </w:r>
      <w:r>
        <w:tab/>
        <w:t>Efektem szkolenia będzie nabycie kwalifikacji lub uzyskanie/podniesienie kompetencji/umiejętności potwierdzonych odpowiednim dokumentem, zgodnie z zasadami określonymi w Załączniku 2: Podstawowe informacje dotyczące uzyskiwania kwalifikacji w ramach projektów współfinansowanych z EFS+ oraz FST do wytycznych ministra właściwego do spraw rozwoju regionalnego dotyczących monitorowania postępu rzeczowego realizacji programów na lata 2021–2027 i LWK 2021 dla EFS+.</w:t>
      </w:r>
      <w:r>
        <w:br/>
        <w:t>9.</w:t>
      </w:r>
      <w:r>
        <w:tab/>
        <w:t>Staże w projekcie są realizowane zgodnie z zaleceniem Rady z dnia 10 marca 2014 r. w sprawie ram jakości staży (Dz. Urz. UE C 88 z 27.03.2014, str. 1) oraz z Polskimi Ramami Jakości Praktyk i Staży.</w:t>
      </w:r>
      <w:r>
        <w:br/>
        <w:t>10.</w:t>
      </w:r>
      <w:r>
        <w:tab/>
        <w:t>W projektach z zakresu aktywizacji społeczno-zawodowej, dana osoba nie otrzymuje jednocześnie wsparcia w więcej niż jednym projekcie z zakresu aktywizacji społeczno-zawodowej dofinansowanym ze środków EFS+, w tożsamym rodzajowo zakresie.</w:t>
      </w:r>
      <w:r>
        <w:br/>
        <w:t>11.</w:t>
      </w:r>
      <w:r>
        <w:tab/>
        <w:t>W przypadku tworzenia w ramach projektu materiałów szkoleniowych (w tym e-materiałów), aplikacji lub narzędzi informatycznych nie będą one powielały już istniejących na poziomie krajowym materiałów, aplikacji i narzędzi dotyczących zagadnień bezpieczeństwa/obronności.</w:t>
      </w:r>
      <w:r>
        <w:br/>
        <w:t>12.</w:t>
      </w:r>
      <w:r>
        <w:tab/>
        <w:t xml:space="preserve">W ramach projektów współfinansowanych z EFS+ wsparcie mogą otrzymać osoby bezrobotne, bierne zawodowo oraz poszukujące pracy niepozostające w zatrudnieniu. </w:t>
      </w:r>
    </w:p>
    <w:p w14:paraId="240F32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2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2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2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2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2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32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2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32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2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32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2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2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2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2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2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40F32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2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32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2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2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2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Osoby fizyczne, Partnerzy społeczni, Służby publiczne</w:t>
      </w:r>
    </w:p>
    <w:p w14:paraId="240F32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2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bezrobotni, osoby bierne zawodowo, poszukujący pracy</w:t>
      </w:r>
    </w:p>
    <w:p w14:paraId="240F32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2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aktywizacja_zawodowa, bezpieczeństwo, doradztwo_zawodowe, dual-use, kompetencje_zawodowe, kwalifikacje, staże, szkolenie_zawodowe, zdolności_obronne</w:t>
      </w:r>
    </w:p>
    <w:p w14:paraId="240F32B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2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2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2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32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240F32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40F32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240F32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32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32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WLWK-PLAGO01 - Liczba osób objętych wsparciem w dziedzinie gotowości cywilnej, w przemyśle obronnym lub dziedzinie cyberbezpieczeństwa</w:t>
      </w:r>
    </w:p>
    <w:p w14:paraId="240F32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240F32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32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240F32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WLWK-EECO08 - Liczba osób w wieku 55 lat i więcej  objętych wsparciem w programie</w:t>
      </w:r>
    </w:p>
    <w:p w14:paraId="240F32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32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32C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32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2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WLWK-PLAGCR01 - Liczba osób, które podniosły umiejętności, lub kompetencje lub nabyły kwalifikacje w dziedzinie gotowości cywilnej, w przemyśle obronnym lub dziedzinie cyberbezpieczeństwa</w:t>
      </w:r>
    </w:p>
    <w:p w14:paraId="240F32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240F32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240F32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2C7"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07" w:name="_Toc241668271"/>
      <w:r>
        <w:rPr>
          <w:rFonts w:ascii="Calibri" w:hAnsi="Calibri" w:cs="Calibri"/>
          <w:sz w:val="32"/>
        </w:rPr>
        <w:t>Działanie FELU.17.02 Adaptacyjność pracowników do zmian na potrzeby przemysłu obronnego i bezpieczeństwa</w:t>
      </w:r>
      <w:bookmarkEnd w:id="107"/>
    </w:p>
    <w:p w14:paraId="240F32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2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240F32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32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32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2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2 105 263,00</w:t>
      </w:r>
    </w:p>
    <w:p w14:paraId="240F32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2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2 000 000,00</w:t>
      </w:r>
    </w:p>
    <w:p w14:paraId="240F32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2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146 - Wsparcie na rzecz przystosowywania pracowników, przedsiębiorstw i przedsiębiorców do zmian</w:t>
      </w:r>
    </w:p>
    <w:p w14:paraId="240F32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2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Przekwalifikowanie pracowników z sektorów zagrożonych redukcją etatów na potrzeby przemysłu obronnego.</w:t>
      </w:r>
      <w:r>
        <w:br/>
        <w:t>Kluczowe warunki realizacji projektów:</w:t>
      </w:r>
      <w:r>
        <w:br/>
        <w:t>Każdorazowo do ogłoszonego naboru projektów ION określi szczegółowe zasady realizacji wsparcia.</w:t>
      </w:r>
      <w:r>
        <w:br/>
        <w:t>1.</w:t>
      </w:r>
      <w:r>
        <w:tab/>
        <w:t>Projekty realizowane będą zgodnie z:</w:t>
      </w:r>
      <w:r>
        <w:br/>
        <w:t>a)</w:t>
      </w:r>
      <w:r>
        <w:tab/>
        <w:t>Wytycznymi dotyczącymi kwalifikowalności wydatków na lata 2021-2027,</w:t>
      </w:r>
      <w:r>
        <w:br/>
        <w:t>b)</w:t>
      </w:r>
      <w:r>
        <w:tab/>
        <w:t>Wytycznymi dotyczącymi realizacji projektów z udziałem środków Europejskiego Funduszu Społecznego Plus w regionalnych programach na lata 2021–2027,</w:t>
      </w:r>
      <w:r>
        <w:br/>
        <w:t>c)</w:t>
      </w:r>
      <w:r>
        <w:tab/>
        <w:t>Wytycznymi dotyczącymi realizacji zasad równościowych w ramach funduszy unijnych na lata 2021-2027,</w:t>
      </w:r>
      <w:r>
        <w:br/>
        <w:t>d)</w:t>
      </w:r>
      <w:r>
        <w:tab/>
        <w:t>Wytycznymi dotyczącymi monitorowania postępu rzeczowego realizacji programów na lata 2021-2027,</w:t>
      </w:r>
      <w:r>
        <w:br/>
        <w:t>e)</w:t>
      </w:r>
      <w:r>
        <w:tab/>
        <w:t>Wytycznymi dotyczącymi wyboru projektów na lata 2021-2027.</w:t>
      </w:r>
      <w:r>
        <w:br/>
        <w:t>2.</w:t>
      </w:r>
      <w:r>
        <w:tab/>
        <w:t xml:space="preserve"> W ramach projektów wsparcie mogą uzyskać jedynie pracownicy z sektorów zagrożonych redukcją etatów.</w:t>
      </w:r>
      <w:r>
        <w:br/>
        <w:t>3. Dopuszczalne jest wsparcie w zakresie infrastruktury i wyposażenia, w tym wydatków w ramach cross-financingu i/lub zakupu środków trwałych jedynie w sytuacji, gdy będzie ono wykorzystywane do realizacji zaplanowanych w projekcie szkoleń. Sprzęt jest możliwy do sfinansowania w ramach projektu, tylko w przypadku, gdy pomaga nabyć kwalifikacje i/lub uzyskać/rozwinąć kompetencje/umiejętności uczestników.</w:t>
      </w:r>
      <w:r>
        <w:br/>
        <w:t>4. Efektem szkolenia będzie nabycie kwalifikacji lub uzyskanie/rozwój kompetencji/ umiejętności potwierdzonych odpowiednim dokumentem zgodnie z zasadami określonymi w Załączniku 2: Podstawowe informacje dotyczące uzyskiwania kwalifikacji w ramach projektów współfinansowanych z EFS+ oraz FST do wytycznych ministra właściwego do spraw rozwoju regionalnego dotyczących monitorowania postępu rzeczowego realizacji programów na lata 2021–2027 i LWK 2021 dla EFS+.</w:t>
      </w:r>
      <w:r>
        <w:br/>
        <w:t>5. Wsparcie w zakresie rozwijania umiejętności i kompetencji oraz nabywania kwalifikacji realizowane będzie poza Podmiotowym Systemem Finansowania.</w:t>
      </w:r>
      <w:r>
        <w:br/>
        <w:t>6. W projektach z zakresu aktywizacji społeczno-zawodowej, dana osoba nie otrzymuje jednocześnie wsparcia w więcej niż jednym projekcie z zakresu aktywizacji społeczno-zawodowej dofinansowanym ze środków EFS+, w tożsamym rodzajowo zakresie.</w:t>
      </w:r>
      <w:r>
        <w:br/>
        <w:t>7.  W przypadku tworzenia w ramach projektu materiałów szkoleniowych (w tym e-materiałów), aplikacji lub narzędzi informatycznych nie będą one powielały już istniejących na poziomie krajowym materiałów, aplikacji i narzędzi dotyczących zagadnień bezpieczeństwa/obronności.</w:t>
      </w:r>
      <w:r>
        <w:br/>
        <w:t>8. 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9. Przewidywane wsparcie z Budżetu Państwa w ramach środków określonych w Kontrakcie Programowym dla Województwa Lubelskiego i zgodnie z zał. 33.</w:t>
      </w:r>
    </w:p>
    <w:p w14:paraId="240F32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2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2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2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32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2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0F32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2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32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2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32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2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2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2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2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2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w przypadku państwowych jednostek budżetowych: 5%</w:t>
      </w:r>
    </w:p>
    <w:p w14:paraId="240F32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2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32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2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2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2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Przedsiębiorstwa, Służby publiczne</w:t>
      </w:r>
    </w:p>
    <w:p w14:paraId="240F32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2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pracodawcy, pracownicy, przedsiębiorcy</w:t>
      </w:r>
    </w:p>
    <w:p w14:paraId="240F32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2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adaptacyjność, aktywizacja_zawodowa, doradztwo_zawodowe, kompetencje_zawodowe, kwalifikacje, szkolenie_zawodowe, zdolności_obronne</w:t>
      </w:r>
    </w:p>
    <w:p w14:paraId="240F32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2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32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2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2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2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32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32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32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32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32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WLWK-PLAGO01 - Liczba osób objętych wsparciem w dziedzinie gotowości cywilnej, w przemyśle obronnym lub dziedzinie cyberbezpieczeństwa</w:t>
      </w:r>
    </w:p>
    <w:p w14:paraId="240F32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32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32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32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32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2F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WLWK-PLAGCR01 - Liczba osób, które podniosły umiejętności, lub kompetencje lub nabyły kwalifikacje w dziedzinie gotowości cywilnej, w przemyśle obronnym lub dziedzinie cyberbezpieczeństwa</w:t>
      </w:r>
    </w:p>
    <w:p w14:paraId="240F32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300"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08" w:name="_Toc241668272"/>
      <w:r>
        <w:rPr>
          <w:rFonts w:ascii="Calibri" w:hAnsi="Calibri" w:cs="Calibri"/>
          <w:sz w:val="32"/>
        </w:rPr>
        <w:t>Działanie FELU.17.03 Obronność i bezpieczeństwo na rynku pracy</w:t>
      </w:r>
      <w:bookmarkEnd w:id="108"/>
    </w:p>
    <w:p w14:paraId="240F33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3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240F33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3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23 513 968,00</w:t>
      </w:r>
    </w:p>
    <w:p w14:paraId="240F33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3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22 338 268,00</w:t>
      </w:r>
    </w:p>
    <w:p w14:paraId="240F33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3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140 - Wsparcie na rzecz dostosowania umiejętności i kwalifikacji zawodowych do potrzeb rynku pracy oraz na rzecz przepływów na rynku pracy</w:t>
      </w:r>
    </w:p>
    <w:p w14:paraId="240F33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3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Szkolenia z zakresu bezpieczeństwa/obronności cywilnej dla ludności w zakresie gotowości cywilnej – realizowane poza BUR;</w:t>
      </w:r>
      <w:r>
        <w:br/>
        <w:t>2.</w:t>
      </w:r>
      <w:r>
        <w:tab/>
        <w:t>Poszerzenie wsparcia o szkolenia dla osób stanowiących wsparcie w zakresie obrony cywilnej i sił zbrojnych np. nabycie kwalifikacji przez kierowców służb ratunkowych w zakresie prawa jazdy kat. "C".</w:t>
      </w:r>
      <w:r>
        <w:br/>
        <w:t>Kluczowe warunki realizacji projektów:</w:t>
      </w:r>
      <w:r>
        <w:br/>
        <w:t>Każdorazowo do ogłoszonego naboru projektów Instytucja Organizująca Nabór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 xml:space="preserve">Wytycznymi dot. monitorowania postępu rzeczowego realizacji programów na lata 2021-2027. </w:t>
      </w:r>
      <w:r>
        <w:br/>
        <w:t>d)</w:t>
      </w:r>
      <w:r>
        <w:tab/>
        <w:t>Wytycznymi dotyczącymi realizacji projektów z udziałem środków Europejskiego Funduszu Społecznego Plus w regionalnych programach na lata 2021-2027,</w:t>
      </w:r>
      <w:r>
        <w:br/>
        <w:t>e)</w:t>
      </w:r>
      <w:r>
        <w:tab/>
        <w:t>Wytycznymi dotyczącymi wyboru projektów na lata 2021-2027.</w:t>
      </w:r>
      <w:r>
        <w:br/>
        <w:t>2.</w:t>
      </w:r>
      <w:r>
        <w:tab/>
        <w:t xml:space="preserve">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 (typ 1, 2) </w:t>
      </w:r>
      <w:r>
        <w:br/>
        <w:t>3. Wsparcie w zakresie rozwijania umiejętności i kompetencji oraz nabywania kwalifikacji realizowane będzie poza Podmiotowym Systemem Finansowania realizowanym za pośrednictwem Bazy Usług Rozwojowych (typ 1, 2).</w:t>
      </w:r>
      <w:r>
        <w:br/>
        <w:t xml:space="preserve">4. Realizowane szkolenia, prowadzące do uzyskania kompetencji muszą mieć określony co najmniej wyodrębniony zestaw efektów uczenia się/kształcenia, który zostanie sprawdzony w procesie walidacji w sposób zgodny z wymaganiami ustalonymi dla danej kompetencji, odnoszącymi się w szczególności do składających się na nią efektów uczenia się. Umiejętności będą dostosowane do gotowości cywilnej, przemysłu obronnego, cyberbezpieczeństwa. (typ 1, 2) </w:t>
      </w:r>
      <w:r>
        <w:br/>
        <w:t>5. Efektem szkolenia będzie nabycie kwalifikacji lub podniesienie kompetencji i umiejętności potwierdzonych odpowiednim dokumentem, zgodnie z zasadami określonymi w Załączniku 2: Podstawowe informacje dotyczące uzyskiwania kwalifikacji w ramach projektów współfinansowanych z EFS+ oraz FST do wytycznych ministra właściwego do spraw rozwoju regionalnego dotyczących monitorowania postępu rzeczowego realizacji programów na lata 2021–2027 i LWK 2021 dla EFS+. (typ 1, 2)</w:t>
      </w:r>
      <w:r>
        <w:br/>
        <w:t xml:space="preserve">6. W przypadku tworzenia w ramach projektu materiałów szkoleniowych (w tym e-materiałów), aplikacji lub narzędzi informatycznych nie będą one powielały już istniejących i planowanych do stworzenia na poziomie krajowym materiałów, aplikacji i narzędzi dotyczących zagadnień bezpieczeństwa/obronności cywilnej dla ludności w zakresie gotowości cywilnej. (typ 1, 2) </w:t>
      </w:r>
      <w:r>
        <w:br/>
        <w:t xml:space="preserve">7. Dopuszczalne jest wsparcie w zakresie infrastruktury i wyposażenia, w tym wydatków w ramach cross-financingu i/lub zakupu środków trwałych jedynie w sytuacji, gdy będzie ono wykorzystywane do realizacji zaplanowanych w projekcie szkoleń. Sprzęt jest możliwy do sfinansowania w ramach projektu, tylko w przypadku, gdy pomaga nabyć kwalifikacje lub podnieść kompetencje i umiejętności uczestników. Niedopuszczalny jest zakup sprzętu służącego jedynie obronności cywilnej czy bezpieczeństwu, tj. wykorzystywany do budowania samej obronności. (typ 1, 2) </w:t>
      </w:r>
      <w:r>
        <w:br/>
        <w:t>8. W ramach interwencji istnieje możliwość realizacji „szkoleń dla szkolących”, celem dalszego powielania i upowszechniania zakresu wiedzy w zakresie bezpieczeństwa/obronności cywilnej dla ludności w zakresie gotowości cywilnej.(typ 1)</w:t>
      </w:r>
      <w:r>
        <w:br/>
        <w:t>10. Szkolenia z zakresu samoobrony/ obrony własnej / strzelania / strzelectwa sportowego są niekwalifikowalne. (typ 1, 2)</w:t>
      </w:r>
      <w:r>
        <w:br/>
        <w:t>11. Projekty realizowane w ramach regionalnego programu nie powielają działań realizowanych na poziomie krajowym (zarówno ze środków EFS+, jak i źródeł krajowych). (typ 1, 2)</w:t>
      </w:r>
    </w:p>
    <w:p w14:paraId="240F33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3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3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3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3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3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33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3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33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3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33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3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3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3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3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3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40F33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33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33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33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33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3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33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3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3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3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Przedsiębiorstwa, Służby publiczne</w:t>
      </w:r>
    </w:p>
    <w:p w14:paraId="240F33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3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pracodawcy, pracownicy, przedsiębiorcy</w:t>
      </w:r>
    </w:p>
    <w:p w14:paraId="240F33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3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 kompetencje, kwalifikacje, rozwój_zawodowy, szkolenia</w:t>
      </w:r>
    </w:p>
    <w:p w14:paraId="240F33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3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33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3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3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3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33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33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33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33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33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WLWK-PLAGO01 - Liczba osób objętych wsparciem w dziedzinie gotowości cywilnej, w przemyśle obronnym lub dziedzinie cyberbezpieczeństwa</w:t>
      </w:r>
    </w:p>
    <w:p w14:paraId="240F33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33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33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33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333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33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WLWK-PLAGCR01 - Liczba osób, które podniosły umiejętności, lub kompetencje lub nabyły kwalifikacje w dziedzinie gotowości cywilnej, w przemyśle obronnym lub dziedzinie cyberbezpieczeństwa</w:t>
      </w:r>
    </w:p>
    <w:p w14:paraId="240F333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33B"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09" w:name="_Toc241668273"/>
      <w:r>
        <w:rPr>
          <w:rFonts w:ascii="Calibri" w:hAnsi="Calibri" w:cs="Calibri"/>
          <w:sz w:val="32"/>
        </w:rPr>
        <w:t>Działanie FELU.17.04 Edukacja na rzecz obronności i bezpieczeństwa</w:t>
      </w:r>
      <w:bookmarkEnd w:id="109"/>
    </w:p>
    <w:p w14:paraId="240F333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33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240F333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33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9 072 544,00</w:t>
      </w:r>
    </w:p>
    <w:p w14:paraId="240F334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34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8 618 917,00</w:t>
      </w:r>
    </w:p>
    <w:p w14:paraId="240F334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34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148 - Wsparcie na rzecz wczesnej edukacji i opieki nad dzieckiem (z wyłączeniem infrastruktury), 149 - Wsparcie na rzecz szkolnictwa podstawowego i średniego (z wyłączeniem infrastruktury), 150 - Wsparcie na rzecz szkolnictwa wyższego (z wyłączeniem infrastruktury)</w:t>
      </w:r>
    </w:p>
    <w:p w14:paraId="240F334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34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Realizacja wsparcia edukacyjnego w zakresie cyberbezpieczeństwa i/lub gotowości cywilnej w przedszkolach, szkołach i uczelniach.</w:t>
      </w:r>
      <w:r>
        <w:br/>
        <w:t>2. Kursy z zakresu obsługi nowoczesnych technologii w przemyśle obronnym i technologii dual-use w ramach kształcenia zawodowego i ogólnego, odpowiednie do zdiagnozowanych potrzeb rynku pracy.</w:t>
      </w:r>
      <w:r>
        <w:br/>
        <w:t>Kluczowe warunki realizacji projektów:</w:t>
      </w:r>
      <w:r>
        <w:br/>
        <w:t>Każdorazowo do ogłoszonego naboru projektów Instytucja Organizująca Nabór określi szczegółowe zasady realizacji wsparcia w zakresie poszczególnych typów projektów.</w:t>
      </w:r>
      <w:r>
        <w:br/>
        <w:t xml:space="preserve">1. Projekty realizowane będą zgodnie z: </w:t>
      </w:r>
      <w:r>
        <w:br/>
        <w:t xml:space="preserve">a. Wytycznymi dot. kwalifikowalności wydatków na lata 2021-2027, </w:t>
      </w:r>
      <w:r>
        <w:br/>
        <w:t xml:space="preserve">b. Wytycznymi dot. realizacji zasad równościowych w ramach funduszy unijnych na lata 2021-2027, </w:t>
      </w:r>
      <w:r>
        <w:br/>
        <w:t xml:space="preserve">c. Wytycznymi dot. monitorowania postępu rzeczowego realizacji programów na lata 2021-2027. </w:t>
      </w:r>
      <w:r>
        <w:br/>
        <w:t>d. Wytycznymi dotyczącymi realizacji projektów z udziałem środków Europejskiego Funduszu Społecznego Plus w regionalnych programach na lata 2021-2027,</w:t>
      </w:r>
      <w:r>
        <w:br/>
        <w:t>e. Wytycznymi dotyczącymi wyboru projektów na lata 2021-2027.</w:t>
      </w:r>
      <w:r>
        <w:br/>
        <w:t>2. 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 (typ 1, 2).</w:t>
      </w:r>
      <w:r>
        <w:br/>
        <w:t>3. Celem interwencji jest wspieranie dostępności do dobrej jakości edukacji w regionie lubelskim w zakresie rozwoju umiejętności w dziedzinie bezpieczeństwa i gotowości cywilnej, w przemyśle obronnym, w tym w odniesieniu do zdolności w zakresie technologii podwójnego zastosowania oraz w dziedzinie cyberbezpieczeństwa (typ 1, 2).</w:t>
      </w:r>
      <w:r>
        <w:br/>
        <w:t xml:space="preserve">4. Działania, które nie skutkują rozwojem umiejętności, kompetencji, nabyciem kwalifikacji z zakresu bezpieczeństwa i / lub obronności cywilnej nie są wspierane w ramach interwencji (typ 1, 2). </w:t>
      </w:r>
      <w:r>
        <w:br/>
        <w:t>5. Efektem szkolenia będzie nabycie kwalifikacji lub podniesienie kompetencji i umiejętności potwierdzonych odpowiednim dokumentem, zgodnie z zasadami określonymi w Załączniku 2: Podstawowe informacje dotyczące uzyskiwania kwalifikacji w ramach projektów współfinansowanych z EFS+ oraz FST do wytycznych ministra właściwego do spraw rozwoju regionalnego dotyczących monitorowania postępu rzeczowego realizacji programów na lata 2021–2027 i LWK 2021 dla EFS+ (typ 1, 2).</w:t>
      </w:r>
      <w:r>
        <w:br/>
        <w:t>6. Wsparcie dla dzieci/uczniów/studentów realizowane jest w formie zajęć dodatkowych, a nie włączania nowych tematów do już realizowanych programów nauczania (typ 1, 2).</w:t>
      </w:r>
      <w:r>
        <w:br/>
        <w:t>7. Szkolenia z zakresu samoobrony / obrony własnej / strzelania / strzelectwa sportowego są niekwalifikowalne (typ 1, 2).</w:t>
      </w:r>
      <w:r>
        <w:br/>
        <w:t xml:space="preserve">8. Zakłada się możliwość wsparcia bazy dydaktycznej ośrodków wychowania przedszkolnego, szkół i placówek oświatowych, uczelni z terenu województwa lubelskiego, niezbędnej do prowadzenia wysokiej jakości kształcenia dzieci, uczniów, studentów w zakresie obronności i bezpieczeństwa (typ 1, 2). </w:t>
      </w:r>
      <w:r>
        <w:br/>
        <w:t>9. Dopuszczalne jest wsparcie w zakresie infrastruktury i wyposażenia, w tym wydatków w ramach cross-financingu i/lub zakupu środków trwałych, jedynie w sytuacji, gdy będzie ono wykorzystywane do realizacji zaplanowanych w projekcie zajęć dodatkowych dla dzieci/uczniów/studentów w obszarze obronności i bezpieczeństwa, a nie do budowania samej obronności. Wsparcie jest możliwe przy łącznym  spełnieniu następujących warunków (typ 1, 2):</w:t>
      </w:r>
      <w:r>
        <w:br/>
        <w:t xml:space="preserve">a) objęcia nim wyłącznie podmiotów, do których skierowany jest projekt oraz </w:t>
      </w:r>
      <w:r>
        <w:br/>
        <w:t>b) wykazania jego niezbędności do realizacji celu projektu, którym jest podniesienie/rozwój umiejętności, kompetencji i/lub nabycie kwalifikacji.</w:t>
      </w:r>
      <w:r>
        <w:br/>
        <w:t>10. Zakup sprzętu nie stanowi jedynego lub głównego celu projektu, wynika bezpośrednio ze zdiagnozowanych potrzeb i jest niezbędny do osiągnięcia celu projektu (typ 1, 2).</w:t>
      </w:r>
      <w:r>
        <w:br/>
        <w:t>11. Sprzęt ewakuacyjny jest kwalifikowalny tylko w zakresie, w jakim jest niezbędny do przeprowadzenia szkoleń (typ 1, 2).</w:t>
      </w:r>
      <w:r>
        <w:br/>
        <w:t>12. Działania realizowane dla uczelni oraz studentów nie będą powielać rozwiązań oferowanych na poziomie krajowym, czyli m.in. nie będą dotyczyć tworzenia i modyfikacji kierunków kształcenia (typ 1, 2).</w:t>
      </w:r>
      <w:r>
        <w:br/>
        <w:t xml:space="preserve">13. Dopuszczalne jest doskonalenie zawodowe kadry zatrudnionej w ośrodkach wychowania przedszkolnego, szkołach i placówkach systemu oświaty, uczelniach w zakresie wsparcia rozwoju umiejętności i kompetencji oraz nabycia kwalifikacji w dziedzinie bezpieczeństwa i gotowości cywilnej, w przemyśle obronnym, w tym w odniesieniu do podwójnego zastosowania, oraz w dziedzinie cyberbezpieczeństwa (typ 1, 2). </w:t>
      </w:r>
      <w:r>
        <w:br/>
        <w:t>14. W przypadku tworzenia materiałów (w tym e-materiałów), aplikacji lub narzędzi informatycznych, nie będą one powielały już istniejących i planowanych do stworzenia na poziomie krajowym materiałów, aplikacji i narzędzi. Wypracowane w ramach regionalnych programów e-materiały spełniają standardy techniczne ZPE (aktualne na dzień ogłoszenia naboru), tak aby była możliwość ich publikacji na ZPE (typ 1, 2).</w:t>
      </w:r>
      <w:r>
        <w:br/>
        <w:t>15. W przypadku wspierania kompetencji cyfrowych wykorzystany zostanie standard kompetencji cyfrowych na podstawie aktualnej na dzień ogłoszenia naboru wersji ramy „DigComp” (typ 1, 2).</w:t>
      </w:r>
      <w:r>
        <w:br/>
        <w:t>16. Celem interwencji EFS+ jest wspieranie równego dostępu do dobrej jakości włączającego kształcenia i szkolenia oraz możliwości ich ukończenia, w szczególności w odniesieniu do grup w niekorzystnej sytuacji (typ 1, 2).</w:t>
      </w:r>
      <w:r>
        <w:br/>
        <w:t>17. Wsparcie może obejmować w szczególności wyrównywanie szans edukacyjnych uczniów z obszarów wiejskich oraz z rodzin o niskim statusie społeczno-ekonomicznym, przy zapewnieniu braku stygmatyzacji (np. wsparcie powinno być kierowane do oddziałów klasowych lub szkół, a nie pojedynczych uczniów) (typ 1, 2).</w:t>
      </w:r>
      <w:r>
        <w:br/>
        <w:t>18. Projekty nie powielają działań realizowanych na poziomie krajowym (zarówno ze środków EFS+, jak i źródeł krajowych), w szczególności w zakresie rozwoju kompetencji nauczycieli (typ 1, 2).</w:t>
      </w:r>
      <w:r>
        <w:br/>
        <w:t>19. Wsparcie dla danej szkoły lub placówki, jej kadry /lub uczniów jest realizowane w oparciu o indywidualnie zdiagnozowane potrzeby szkoły lub placówki, przede wszystkim w kontekście wyrównywania szans edukacyjnych uczniów (typ 1, 2).</w:t>
      </w:r>
      <w:r>
        <w:br/>
        <w:t>20. Wsparcie w zakresie cyfryzacji danej szkoły lub placówki poprzedzone jest samooceną wykonaną przez szkołę lub placówkę, jej kadrę i uczniów przy wykorzystaniu narzędzia SELFIE (typ 1, 2).</w:t>
      </w:r>
    </w:p>
    <w:p w14:paraId="240F334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34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34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34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34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34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334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34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334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34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335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35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35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35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35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35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40F335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335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335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335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335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35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335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35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35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35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 Służby publiczne</w:t>
      </w:r>
    </w:p>
    <w:p w14:paraId="240F336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36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w wieku przedszkolnym (zgodnie z ustawą - Prawo oświatowe) i ich opiekunowie, instruktorzy praktycznej nauki zawodu, podmioty uprawnione do prowadzenia kształcenia ustawicznego z terenu regionu oraz ich kadra (w tym nauczyciele), pracownicy uczelni i innych podmiotów systemu szkolnictwa wyższego i nauki, przedstawiciele kadry OWP, przedstawiciele kadry szkół lub placówek kształcenia ogólnego, przedstawiciele kadry szkół lub placówek kształcenia zawodowego, przedszkola, oddziały przedszkolne w szkołach podstawowych i inne formy wychowania przedszkolnego z terenu regionu oraz ich kadra (w tym nauczyciele), studenci, szkoły i placówki systemu oświaty realizujące kształcenie ogólne, zawodowe i ustawiczne i ich organa prowadzące, uczelnie z terenu regionu, ich uczniowie, uczniowie szkół i placówek podstawowych, uczniowie szkół i placówek ponadpodstawowych, uczniowie, ich rodzice i opiekunowie prawni oraz kadra (w tym nauczyciele) szkół specjalnych</w:t>
      </w:r>
    </w:p>
    <w:p w14:paraId="240F336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36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edukacja, kadra_pedagogiczna, kształcenie_ustawiczne, kształcenie_zawodowe, kwalifikacje, szkoła, szkolenia, szkolenie_nauczycieli, szkolenie_zawodowe, wychowanie_przedszkolne</w:t>
      </w:r>
    </w:p>
    <w:p w14:paraId="240F336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36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336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36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36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36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336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336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336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336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336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WLWK-PLAGO01 - Liczba osób objętych wsparciem w dziedzinie gotowości cywilnej, w przemyśle obronnym lub dziedzinie cyberbezpieczeństwa</w:t>
      </w:r>
    </w:p>
    <w:p w14:paraId="240F336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337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337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337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337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37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WLWK-PLAGCR01 - Liczba osób, które podniosły umiejętności, lub kompetencje lub nabyły kwalifikacje w dziedzinie gotowości cywilnej, w przemyśle obronnym lub dziedzinie cyberbezpieczeństwa</w:t>
      </w:r>
    </w:p>
    <w:p w14:paraId="240F337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376"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10" w:name="_Toc241668274"/>
      <w:r>
        <w:rPr>
          <w:rFonts w:ascii="Calibri" w:hAnsi="Calibri" w:cs="Calibri"/>
          <w:sz w:val="32"/>
        </w:rPr>
        <w:t>Działanie FELU.17.05 Edukacja osób dorosłych w obszarze obronności i bezpieczeństwa</w:t>
      </w:r>
      <w:bookmarkEnd w:id="110"/>
    </w:p>
    <w:p w14:paraId="240F337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37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EFS+.CP4.G - 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p>
    <w:p w14:paraId="240F337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37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13 242 631,00</w:t>
      </w:r>
    </w:p>
    <w:p w14:paraId="240F337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37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12 580 500,00</w:t>
      </w:r>
    </w:p>
    <w:p w14:paraId="240F337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37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151 - Wsparcie na rzecz kształcenia dorosłych (z wyłączeniem infrastruktury)</w:t>
      </w:r>
    </w:p>
    <w:p w14:paraId="240F337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38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Szkolenia z zakresu bezpieczeństwa / obronności cywilnej dla ludności w zakresie gotowości cywilnej – realizowane poza BUR.</w:t>
      </w:r>
      <w:r>
        <w:br/>
        <w:t>2.</w:t>
      </w:r>
      <w:r>
        <w:tab/>
        <w:t>Poszerzenie wsparcia o szkolenia dla osób stanowiących wsparcie w zakresie obrony cywilnej i sił zbrojnych np. nabycie kwalifikacji przez kierowców służb ratunkowych w zakresie prawa jazdy kat. "C".</w:t>
      </w:r>
      <w:r>
        <w:br/>
      </w:r>
      <w:r>
        <w:br/>
        <w:t>Kluczowe warunki realizacji projektów:</w:t>
      </w:r>
      <w:r>
        <w:br/>
        <w:t>Każdorazowo do ogłoszonego naboru projektów Instytucja Organizująca Nabór określi szczegółowe zasady realizacji wsparcia w zakresie poszczególnych typów projektów.</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d)</w:t>
      </w:r>
      <w:r>
        <w:tab/>
        <w:t>Wytycznymi dotyczącymi realizacji projektów z udziałem środków Europejskiego Funduszu Społecznego Plus w regionalnych programach na lata 2021-2027,</w:t>
      </w:r>
      <w:r>
        <w:br/>
        <w:t>e)</w:t>
      </w:r>
      <w:r>
        <w:tab/>
        <w:t>Wytycznymi dotyczącymi wyboru projektów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 (typ 1, 2).</w:t>
      </w:r>
      <w:r>
        <w:br/>
        <w:t>3.</w:t>
      </w:r>
      <w:r>
        <w:tab/>
        <w:t xml:space="preserve">Działania, które nie skutkują nabywaniem kwalifikacji i/lub rozwojem umiejętności, kompetencji, z zakresu bezpieczeństwa i / lub obronności cywilnej nie są wspierane w ramach interwencji (typ 1, 2). </w:t>
      </w:r>
      <w:r>
        <w:br/>
        <w:t>4.</w:t>
      </w:r>
      <w:r>
        <w:tab/>
        <w:t>Efektem szkolenia będzie nabycie kwalifikacji lub podniesienie kompetencji i umiejętności potwierdzonych odpowiednim dokumentem, zgodnie z zasadami określonymi w Załączniku 2: Podstawowe informacje dotyczące uzyskiwania kwalifikacji w ramach projektów współfinansowanych z EFS+ oraz FST do wytycznych ministra właściwego do spraw rozwoju regionalnego dotyczących monitorowania postępu rzeczowego realizacji programów na lata 2021–2027 i LWK 2021 dla EFS+ (typ 1, 2).</w:t>
      </w:r>
      <w:r>
        <w:br/>
        <w:t>5.</w:t>
      </w:r>
      <w:r>
        <w:tab/>
        <w:t>Szkolenia z zakresu samoobrony / obrony własnej / strzelania / strzelectwa sportowego są niekwalifikowalne (typ 1, 2).</w:t>
      </w:r>
      <w:r>
        <w:br/>
        <w:t>6.</w:t>
      </w:r>
      <w:r>
        <w:tab/>
        <w:t>Sprzęt ewakuacyjny jest kwalifikowalny tylko w zakresie, w jakim jest niezbędny do przeprowadzenia szkoleń (typ 1, 2).</w:t>
      </w:r>
      <w:r>
        <w:br/>
        <w:t>7.</w:t>
      </w:r>
      <w:r>
        <w:tab/>
        <w:t>Dopuszczalne jest wsparcie w zakresie infrastruktury i wyposażenia, w tym wydatków w ramach cross-financingu i/lub zakupu środków trwałych jedynie w sytuacji, gdy będzie ono wykorzystywane do realizacji zaplanowanych w projekcie szkoleń w obszarze obronności i bezpieczeństwa, a nie do budowania samej obronności (typ 1, 2).</w:t>
      </w:r>
      <w:r>
        <w:br/>
        <w:t>8.</w:t>
      </w:r>
      <w:r>
        <w:tab/>
        <w:t>Wsparcie osób dorosłych w zakresie nabywania kwalifikacji i/lub rozwijania umiejętności i kompetencji realizowane będzie poza Podmiotowym Systemem Finansowania realizowanym za pośrednictwem Bazy Usług Rozwojowych (typ 1, 2).</w:t>
      </w:r>
      <w:r>
        <w:br/>
        <w:t>9.</w:t>
      </w:r>
      <w:r>
        <w:tab/>
        <w:t>Projekt zakłada możliwość realizacji „szkoleń dla szkolących” celem dalszego powielania i upowszechniania wiedzy w zakresie bezpieczeństwa (typ 1, 2).</w:t>
      </w:r>
      <w:r>
        <w:br/>
        <w:t>10.</w:t>
      </w:r>
      <w:r>
        <w:tab/>
        <w:t>W przypadku tworzenia materiałów (w tym e-materiałów), aplikacji lub narzędzi informatycznych, nie będą one powielały już istniejących i planowanych do stworzenia na poziomie krajowym materiałów, aplikacji i narzędzi. Wypracowane w ramach regionalnych programów e-materiały spełniają standardy techniczne ZPE (aktualne na dzień ogłoszenia naboru), tak aby była możliwość ich publikacji na ZPE (typ 1, 2).</w:t>
      </w:r>
      <w:r>
        <w:br/>
        <w:t>11.</w:t>
      </w:r>
      <w:r>
        <w:tab/>
        <w:t xml:space="preserve">Projekty nie powielają działań realizowanych na poziomie krajowym (zarówno ze środków EFS+, jak i źródeł krajowych (typ 1, 2). </w:t>
      </w:r>
      <w:r>
        <w:br/>
        <w:t>12.</w:t>
      </w:r>
      <w:r>
        <w:tab/>
        <w:t>Przewidywane wsparcie z Budżetu Państwa w ramach środków określonych w Kontrakcie Programowym dla Województwa Lubelskiego i zgodnie z zał. 33.</w:t>
      </w:r>
    </w:p>
    <w:p w14:paraId="240F338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38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38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38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w:t>
      </w:r>
    </w:p>
    <w:p w14:paraId="240F338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38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338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38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338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38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338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38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38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38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38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39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w przypadku państwowych jednostek budżetowych: 5%</w:t>
      </w:r>
    </w:p>
    <w:p w14:paraId="240F339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339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339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339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339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39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339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39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39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39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w:t>
      </w:r>
    </w:p>
    <w:p w14:paraId="240F339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39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dorosłe, które z własnej inicjatywy chcą nabywać kompetencje lub kwalifikacje</w:t>
      </w:r>
    </w:p>
    <w:p w14:paraId="240F339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39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dokształcanie, edukacja, kompetencje, kształcenie_dorosłych, kwalifikacje</w:t>
      </w:r>
    </w:p>
    <w:p w14:paraId="240F339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3A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33A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3A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3A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3A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33A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33A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33A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33A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33A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WLWK-PLAGO01 - Liczba osób objętych wsparciem w dziedzinie gotowości cywilnej, w przemyśle obronnym lub dziedzinie cyberbezpieczeństwa</w:t>
      </w:r>
    </w:p>
    <w:p w14:paraId="240F33A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33A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33A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33A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33A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3A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WLWK-PLAGCR01 - Liczba osób, które podniosły umiejętności, lub kompetencje lub nabyły kwalifikacje w dziedzinie gotowości cywilnej, w przemyśle obronnym lub dziedzinie cyberbezpieczeństwa</w:t>
      </w:r>
    </w:p>
    <w:p w14:paraId="240F33B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0F33B1" w14:textId="77777777" w:rsidR="003A0762" w:rsidRDefault="00ED5FA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111" w:name="_Toc241668275"/>
      <w:r>
        <w:rPr>
          <w:rFonts w:ascii="Calibri" w:hAnsi="Calibri" w:cs="Calibri"/>
          <w:i w:val="0"/>
          <w:sz w:val="32"/>
        </w:rPr>
        <w:t>Priorytet FELU.18 Dekarbonizacja EFS+</w:t>
      </w:r>
      <w:bookmarkEnd w:id="111"/>
    </w:p>
    <w:p w14:paraId="240F33B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40F33B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Lubelskiego</w:t>
      </w:r>
    </w:p>
    <w:p w14:paraId="240F33B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40F33B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240F33B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0F33B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240F33B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40F33B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LUBELSKIE</w:t>
      </w:r>
    </w:p>
    <w:p w14:paraId="240F33B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40F33B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10 511 042,00</w:t>
      </w:r>
    </w:p>
    <w:p w14:paraId="240F33B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40F33B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9 985 489,00</w:t>
      </w:r>
    </w:p>
    <w:p w14:paraId="240F33B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40F33B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0F33C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3C1"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12" w:name="_Toc241668276"/>
      <w:r>
        <w:rPr>
          <w:rFonts w:ascii="Calibri" w:hAnsi="Calibri" w:cs="Calibri"/>
          <w:sz w:val="32"/>
        </w:rPr>
        <w:t>Działanie FELU.18.01 Aktywizacja zawodowa w sektorach związanych z dekarbonizacją</w:t>
      </w:r>
      <w:bookmarkEnd w:id="112"/>
    </w:p>
    <w:p w14:paraId="240F33C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3C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240F33C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40F33C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Lublinie</w:t>
      </w:r>
    </w:p>
    <w:p w14:paraId="240F33C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3C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2 673 053,00</w:t>
      </w:r>
    </w:p>
    <w:p w14:paraId="240F33C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3C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2 539 400,00</w:t>
      </w:r>
    </w:p>
    <w:p w14:paraId="240F33C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3C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134 - Działania na rzecz poprawy dostępu do zatrudnienia</w:t>
      </w:r>
    </w:p>
    <w:p w14:paraId="240F33C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3C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Aktywizacja zawodowa osób bezrobotnych, biernych zawodowo, poszukujących pracy w zakresie dekarbonizacji, mająca na celu podniesienie kompetencji i umiejętności oraz nabycie kwalifikacji i zwiększenie szans na znalezienie zatrudnienia w sektorach związanych z dekarbonizacją.</w:t>
      </w:r>
      <w:r>
        <w:br/>
      </w:r>
      <w:r>
        <w:br/>
        <w:t>Kluczowe warunki realizacji projektów:</w:t>
      </w:r>
      <w:r>
        <w:br/>
        <w:t>Każdorazowo do ogłoszonego naboru projektów ION określi szczegółowe zasady realizacji wsparcia.</w:t>
      </w:r>
      <w:r>
        <w:br/>
        <w:t>1.</w:t>
      </w:r>
      <w:r>
        <w:tab/>
        <w:t>Projekty realizowane będą zgodnie z:</w:t>
      </w:r>
      <w:r>
        <w:br/>
        <w:t>a)</w:t>
      </w:r>
      <w:r>
        <w:tab/>
        <w:t>Wytycznymi dotyczącymi kwalifikowalności wydatków na lata 2021-2027,</w:t>
      </w:r>
      <w:r>
        <w:br/>
        <w:t>b)</w:t>
      </w:r>
      <w:r>
        <w:tab/>
        <w:t>Wytycznymi dotyczącymi realizacji projektów z udziałem środków Europejskiego Funduszu Społecznego Plus w regionalnych programach na lata 2021–2027,</w:t>
      </w:r>
      <w:r>
        <w:br/>
        <w:t>c)</w:t>
      </w:r>
      <w:r>
        <w:tab/>
        <w:t>Wytycznymi dotyczącymi realizacji zasad równościowych w ramach funduszy unijnych na lata 2021-2027,</w:t>
      </w:r>
      <w:r>
        <w:br/>
        <w:t>d)</w:t>
      </w:r>
      <w:r>
        <w:tab/>
        <w:t>Wytycznymi dotyczącymi monitorowania postępu rzeczowego realizacji programów na lata 2021-2027,</w:t>
      </w:r>
      <w:r>
        <w:br/>
        <w:t>e)</w:t>
      </w:r>
      <w:r>
        <w:tab/>
        <w:t>Wytycznymi dotyczącymi wyboru projektów na lata 2021-2027,</w:t>
      </w:r>
      <w:r>
        <w:br/>
        <w:t>f)</w:t>
      </w:r>
      <w:r>
        <w:tab/>
        <w:t>Ustawą z dnia 20 marca 2025 r. o rynku pracy i służbach zatrudnienia.</w:t>
      </w:r>
      <w:r>
        <w:br/>
        <w:t>2.</w:t>
      </w:r>
      <w:r>
        <w:tab/>
        <w:t>Udzielenie wsparcia każdorazowo jest poprzedzone identyfikacją potrzeb uczestnika projektu (w tym m.in. poprzez diagnozowanie potrzeb szkoleniowych, możliwości doskonalenia zawodowego) oraz opracowaniem lub aktualizacją dla każdego uczestnika projektu Indywidualnego Planu Działania, o którym mowa w art. 88 ustawy z dnia 20 marca 2025 r. o rynku pracy i służbach zatrudnienia lub innego dokumentu pełniącego analogiczną funkcję. Dokument ten powinien określać zakres wsparcia udzielanego danej osobie, który jest z nią uzgodniony i podlega ewentualnej aktualizacji w trakcie projektu.</w:t>
      </w:r>
      <w:r>
        <w:br/>
        <w:t>3.</w:t>
      </w:r>
      <w:r>
        <w:tab/>
        <w:t>Wsparcie udzielane w ramach projektów jest dostosowane do indywidualnych potrzeb uczestników projektów, wynikających z ich wiedzy, umiejętności i kompetencji oraz kwalifikacji do wykonywania danego zawodu. Każdy z uczestników projektu musi otrzymać ofertę wsparcia, obejmującą takie formy pomocy, które zostaną zidentyfikowane u niego jako niezbędne w celu poprawy sytuacji na rynku pracy lub uzyskania zatrudnienia w sektorach związanych z dekarbonizacją.</w:t>
      </w:r>
      <w:r>
        <w:br/>
        <w:t>4.</w:t>
      </w:r>
      <w:r>
        <w:tab/>
        <w:t>Nie będą realizowane działania służące rozwojowi przedsiębiorczości i samozatrudnienia.</w:t>
      </w:r>
      <w:r>
        <w:br/>
        <w:t>5.</w:t>
      </w:r>
      <w:r>
        <w:tab/>
        <w:t>Dopuszczalne jest wsparcie w zakresie infrastruktury i wyposażenia, w tym wydatków w ramach cross-financingu i/lub zakupu środków trwałych jedynie w sytuacji, gdy będzie ono wykorzystywane do realizacji zaplanowanych w projekcie szkoleń. Sprzęt jest możliwy do sfinansowania w ramach projektu, tylko w przypadku, gdy pomaga nabywać kwalifikacje i/lub uzyskiwać/rozwijać kompetencje/umiejętności uczestników.</w:t>
      </w:r>
      <w:r>
        <w:br/>
        <w:t>6.</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7.</w:t>
      </w:r>
      <w:r>
        <w:tab/>
        <w:t>W ramach realizowanych projektów beneficjent zapewnia przejrzystość procesu rekrutacji oraz warunków realizacji poszczególnych form wsparcia.</w:t>
      </w:r>
      <w:r>
        <w:br/>
        <w:t>8.</w:t>
      </w:r>
      <w:r>
        <w:tab/>
        <w:t>Efektem szkolenia będzie nabycie kwalifikacji i/lub uzyskanie/podniesienie kompetencji/ umiejętności potwierdzonych odpowiednim dokumentem zgodnie z zasadami określonymi w Załączniku 2: Podstawowe informacje dotyczące uzyskiwania kwalifikacji w ramach projektów współfinansowanych z EFS+ oraz FST do wytycznych ministra właściwego do spraw rozwoju regionalnego dotyczących monitorowania postępu rzeczowego realizacji programów na lata 2021–2027 i LWK 2021 dla EFS+.</w:t>
      </w:r>
      <w:r>
        <w:br/>
        <w:t>9.</w:t>
      </w:r>
      <w:r>
        <w:tab/>
        <w:t>Staże w projekcie są realizowane zgodnie z zaleceniem Rady z dnia 10 marca 2014 r. w sprawie ram jakości staży (Dz. Urz. UE C 88 z 27.03.2014, str. 1) oraz z Polskimi Ramami Jakości Praktyk i Staży.</w:t>
      </w:r>
      <w:r>
        <w:br/>
        <w:t>10.</w:t>
      </w:r>
      <w:r>
        <w:tab/>
        <w:t>W projektach z zakresu aktywizacji społeczno-zawodowej, dana osoba nie otrzymuje jednocześnie wsparcia w więcej niż jednym projekcie z zakresu aktywizacji społeczno-zawodowej dofinansowanym ze środków EFS+, w tożsamym rodzajowo zakresie.</w:t>
      </w:r>
      <w:r>
        <w:br/>
        <w:t>11.</w:t>
      </w:r>
      <w:r>
        <w:tab/>
        <w:t>W przypadku tworzenia w ramach projektu materiałów szkoleniowych (w tym e-materiałów), aplikacji lub narzędzi informatycznych nie będą one powielały już istniejących na poziomie krajowym materiałów, aplikacji i narzędzi dotyczących zagadnień związanych z dekarbonizacją.</w:t>
      </w:r>
      <w:r>
        <w:br/>
        <w:t>12.</w:t>
      </w:r>
      <w:r>
        <w:tab/>
        <w:t>W ramach projektów współfinansowanych z EFS+ wsparcie mogą otrzymać osoby bezrobotne, bierne zawodowo oraz poszukujące pracy niepozostające w zatrudnieniu.</w:t>
      </w:r>
    </w:p>
    <w:p w14:paraId="240F33C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3C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3D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3D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3D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3D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33D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3D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40F33D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3D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33D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3D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3D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3D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3D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3D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40F33D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3D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33E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3E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3E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3E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Osoby fizyczne, Partnerzy społeczni, Służby publiczne</w:t>
      </w:r>
    </w:p>
    <w:p w14:paraId="240F33E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3E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bezrobotni, osoby bierne zawodowo, poszukujący pracy</w:t>
      </w:r>
    </w:p>
    <w:p w14:paraId="240F33E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3E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aktywizacja_zawodowa, dopasowanie_do_rynku_pracy, doradztwo_zawodowe, kompetencje_zawodowe, kwalifikacje, staże, szkolenie_zawodowe</w:t>
      </w:r>
    </w:p>
    <w:p w14:paraId="240F33E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3E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3E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3E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33E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240F33E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40F33E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240F33E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33F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33F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WLWK-PLAGO02 - Liczba osób objętych wsparciem w obszarze dostosowania się do dekarbonizacji</w:t>
      </w:r>
    </w:p>
    <w:p w14:paraId="240F33F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240F33F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33F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240F33F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WLWK-EECO08 - Liczba osób w wieku 55 lat i więcej  objętych wsparciem w programie</w:t>
      </w:r>
    </w:p>
    <w:p w14:paraId="240F33F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33F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33F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33F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3F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0F33F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240F33F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240F33F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40F33FE" w14:textId="77777777" w:rsidR="003A0762" w:rsidRDefault="00ED5FA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13" w:name="_Toc241668277"/>
      <w:r>
        <w:rPr>
          <w:rFonts w:ascii="Calibri" w:hAnsi="Calibri" w:cs="Calibri"/>
          <w:sz w:val="32"/>
        </w:rPr>
        <w:t>Działanie FELU.18.02 Rynek pracy na rzecz dekarbonizacji</w:t>
      </w:r>
      <w:bookmarkEnd w:id="113"/>
    </w:p>
    <w:p w14:paraId="240F33F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0F340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240F340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40F340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7 837 989,00</w:t>
      </w:r>
    </w:p>
    <w:p w14:paraId="240F340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40F340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7 446 089,00</w:t>
      </w:r>
    </w:p>
    <w:p w14:paraId="240F340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40F340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146 - Wsparcie na rzecz przystosowywania pracowników, przedsiębiorstw i przedsiębiorców do zmian</w:t>
      </w:r>
    </w:p>
    <w:p w14:paraId="240F340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40F340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Szkolenia dla pracowników, przedsiębiorstw i przedsiębiorców w zakresie dekarbonizacji zdolności produkcyjnych, realizowane poza BUR.</w:t>
      </w:r>
      <w:r>
        <w:br/>
        <w:t>Kluczowe warunki realizacji projektów:</w:t>
      </w:r>
      <w:r>
        <w:br/>
        <w:t>Każdorazowo do ogłoszonego naboru projektów Instytucja Organizująca Nabór określi szczegółowe zasady realizacji wsparcia w zakresie typu projektu.</w:t>
      </w:r>
      <w:r>
        <w:br/>
        <w:t>1.</w:t>
      </w:r>
      <w:r>
        <w:tab/>
        <w:t>Projekty realizowane będą zgodnie z:</w:t>
      </w:r>
      <w:r>
        <w:br/>
        <w:t>a)</w:t>
      </w:r>
      <w:r>
        <w:tab/>
        <w:t>Wytycznymi dot. kwalifikowalności wydatków na lata 2021-2027,</w:t>
      </w:r>
      <w:r>
        <w:br/>
        <w:t>b)</w:t>
      </w:r>
      <w:r>
        <w:tab/>
        <w:t>Wytycznymi dot. realizacji zasad równościowych w ramach funduszy unijnych na lata 2021-2027,</w:t>
      </w:r>
      <w:r>
        <w:br/>
        <w:t>c)</w:t>
      </w:r>
      <w:r>
        <w:tab/>
        <w:t>Wytycznymi dot. monitorowania postępu rzeczowego realizacji programów na lata 2021-2027.</w:t>
      </w:r>
      <w:r>
        <w:br/>
        <w:t>d)</w:t>
      </w:r>
      <w:r>
        <w:tab/>
        <w:t>Wytycznymi dotyczącymi realizacji projektów z udziałem środków Europejskiego Funduszu Społecznego Plus w regionalnych programach na lata 2021-2027,</w:t>
      </w:r>
      <w:r>
        <w:br/>
        <w:t>e)</w:t>
      </w:r>
      <w:r>
        <w:tab/>
        <w:t>Wytycznymi dotyczącymi wyboru projektów na lata 2021-2027.</w:t>
      </w:r>
      <w:r>
        <w:br/>
        <w:t>2.</w:t>
      </w:r>
      <w:r>
        <w:tab/>
        <w:t>Beneficjent w okresie realizacji projektu prowadzi biuro projektu (lub posiada siedzibę, filię, delegaturę, oddział) na terenie województwa lubelskiego z możliwością udostępnienia pełnej dokumentacji wdrażanego projektu oraz zapewniające uczestnikom projektu możliwość osobistego kontaktu z kadrą projektu.</w:t>
      </w:r>
      <w:r>
        <w:br/>
        <w:t>3. Wsparcie w zakresie nabywania kwalifikacji i/lub rozwijania umiejętności i kompetencji realizowane będzie poza Podmiotowym Systemem Finansowania realizowanym za pośrednictwem Bazy Usług Rozwojowych.</w:t>
      </w:r>
      <w:r>
        <w:br/>
        <w:t xml:space="preserve">4. Realizowane szkolenia prowadzą do rozwoju kompetencji lub nabycia kwalifikacji w obszarze dostosowania się do dekarbonizacji. </w:t>
      </w:r>
      <w:r>
        <w:br/>
        <w:t>5. Efektem szkolenia będzie nabycie kwalifikacji lub podniesienie kompetencji i umiejętności potwierdzonych odpowiednim dokumentem, zgodnie z zasadami określonymi w Załączniku 2: Podstawowe informacje dotyczące uzyskiwania kwalifikacji w ramach projektów współfinansowanych z EFS+ oraz FST do wytycznych ministra właściwego do spraw rozwoju regionalnego dotyczących monitorowania postępu rzeczowego realizacji programów na lata 2021–2027 i LWK 2021 dla EFS+.</w:t>
      </w:r>
      <w:r>
        <w:br/>
        <w:t xml:space="preserve">6. W przypadku tworzenia w ramach projektu materiałów szkoleniowych (w tym e-materiałów), aplikacji lub narzędzi informatycznych nie będą one powielały już istniejących i planowanych do stworzenia na poziomie krajowym materiałów, aplikacji i narzędzi dotyczących zagadnień z zakresu procesów dekarbonizacji zdolności produkcyjnych. </w:t>
      </w:r>
      <w:r>
        <w:br/>
        <w:t>7. Dopuszczalne jest wsparcie w zakresie infrastruktury i wyposażenia, w tym wydatków w ramach cross-financingu i/lub zakupu środków trwałych jedynie w sytuacji, gdy będzie ono wykorzystywane do realizacji zaplanowanych w projekcie szkoleń. Sprzęt jest możliwy do sfinansowania w ramach projektu, tylko w przypadku, gdy pomaga nabyć kwalifikacje i rozwinąć umiejętności uczestników.</w:t>
      </w:r>
      <w:r>
        <w:br/>
        <w:t xml:space="preserve">9. Beneficjent zagwarantuje brak podwójnego finansowania w zakresie świadczenia wsparcia realizowanego w ramach programów regionalnych oraz FERS, dotyczącego zielonych kompetencji, w tym kompetencji niezbędnych do pracy w sektorze zielonej gospodarki. Warunek dotyczy wsparcia planowanego dla danego pracownika, biorącego udział w tym samym szkoleniu, u tego samego wykonawcy (niezależnie od terminu, kiedy szkolenie miało miejsce). </w:t>
      </w:r>
    </w:p>
    <w:p w14:paraId="240F340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0F340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40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40F340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0F340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40F340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40F340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40F341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40F341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0F341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40F341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0F341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40F341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40F341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40F341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40F341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40F341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240F341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341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wydatków kwalifikowalnych w projekcie</w:t>
      </w:r>
    </w:p>
    <w:p w14:paraId="240F341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100 000,00</w:t>
      </w:r>
    </w:p>
    <w:p w14:paraId="240F341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0F341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40F341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0F342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0F342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0F342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Przedsiębiorstwa, Służby publiczne</w:t>
      </w:r>
    </w:p>
    <w:p w14:paraId="240F342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40F342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pracownicy, przedsiębiorcy</w:t>
      </w:r>
    </w:p>
    <w:p w14:paraId="240F342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0F342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dopasowanie_do_rynku_pracy, kwalifikacje, rozwój_zawodowy, szkolenia, zielone_kompetencje, zmniejszenie_emisji</w:t>
      </w:r>
    </w:p>
    <w:p w14:paraId="240F342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40F3428"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40F3429"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40F342A"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http://funduszeUE.lubelskie.pl</w:t>
      </w:r>
    </w:p>
    <w:p w14:paraId="240F342B"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0F342C"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40F342D"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40F342E"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240F342F"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40F3430"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40F3431"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WLWK-PLAGO02 - Liczba osób objętych wsparciem w obszarze dostosowania się do dekarbonizacji</w:t>
      </w:r>
    </w:p>
    <w:p w14:paraId="240F3432"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40F3433"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40F3434"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40F3435"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40F3436"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0F3437" w14:textId="77777777" w:rsidR="003A0762" w:rsidRDefault="00ED5FA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sectPr w:rsidR="003A0762">
      <w:footerReference w:type="default" r:id="rId9"/>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A5EA" w14:textId="77777777" w:rsidR="008E36EE" w:rsidRDefault="008E36EE">
      <w:pPr>
        <w:spacing w:after="0" w:line="240" w:lineRule="auto"/>
      </w:pPr>
      <w:r>
        <w:separator/>
      </w:r>
    </w:p>
  </w:endnote>
  <w:endnote w:type="continuationSeparator" w:id="0">
    <w:p w14:paraId="495427C6" w14:textId="77777777" w:rsidR="008E36EE" w:rsidRDefault="008E3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343A" w14:textId="65027715" w:rsidR="003A0762" w:rsidRDefault="00ED5FA8">
    <w:pPr>
      <w:jc w:val="right"/>
    </w:pPr>
    <w:r>
      <w:fldChar w:fldCharType="begin"/>
    </w:r>
    <w:r>
      <w:instrText>PAGE</w:instrText>
    </w:r>
    <w:r>
      <w:fldChar w:fldCharType="separate"/>
    </w:r>
    <w:r w:rsidR="006E2C0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D72F6" w14:textId="77777777" w:rsidR="008E36EE" w:rsidRDefault="008E36EE">
      <w:pPr>
        <w:spacing w:after="0" w:line="240" w:lineRule="auto"/>
      </w:pPr>
      <w:r>
        <w:separator/>
      </w:r>
    </w:p>
  </w:footnote>
  <w:footnote w:type="continuationSeparator" w:id="0">
    <w:p w14:paraId="718A53FC" w14:textId="77777777" w:rsidR="008E36EE" w:rsidRDefault="008E36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762"/>
    <w:rsid w:val="003A0762"/>
    <w:rsid w:val="00487174"/>
    <w:rsid w:val="00695F61"/>
    <w:rsid w:val="006E2C08"/>
    <w:rsid w:val="007C559F"/>
    <w:rsid w:val="0088375F"/>
    <w:rsid w:val="008E36EE"/>
    <w:rsid w:val="008F253A"/>
    <w:rsid w:val="00922FFC"/>
    <w:rsid w:val="009454C1"/>
    <w:rsid w:val="00AA2C56"/>
    <w:rsid w:val="00C47B82"/>
    <w:rsid w:val="00D63805"/>
    <w:rsid w:val="00ED5FA8"/>
    <w:rsid w:val="00EF23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1CB1"/>
  <w15:docId w15:val="{D30206C1-749C-42F6-A078-C0BB53DC3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Calibri"/>
        <w:sz w:val="22"/>
        <w:lang w:val="pl-PL" w:eastAsia="pl-PL" w:bidi="ar-SA"/>
      </w:rPr>
    </w:rPrDefault>
    <w:pPrDefault>
      <w:pPr>
        <w:spacing w:after="1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pPr>
  </w:style>
  <w:style w:type="paragraph" w:styleId="Nagwek1">
    <w:name w:val="heading 1"/>
    <w:basedOn w:val="Normalny"/>
    <w:next w:val="Normalny"/>
    <w:link w:val="Nagwek1Znak"/>
    <w:uiPriority w:val="9"/>
    <w:qFormat/>
    <w:pPr>
      <w:keepNext/>
      <w:keepLines/>
      <w:spacing w:before="240" w:after="0"/>
      <w:outlineLvl w:val="0"/>
    </w:pPr>
    <w:rPr>
      <w:rFonts w:asciiTheme="majorHAnsi" w:hAnsiTheme="majorHAnsi" w:cs="Calibri Light"/>
      <w:color w:val="2F5496" w:themeColor="accent1" w:themeShade="BF"/>
      <w:sz w:val="32"/>
    </w:rPr>
  </w:style>
  <w:style w:type="paragraph" w:styleId="Nagwek2">
    <w:name w:val="heading 2"/>
    <w:basedOn w:val="Normalny"/>
    <w:next w:val="Normalny"/>
    <w:link w:val="Nagwek2Znak"/>
    <w:uiPriority w:val="9"/>
    <w:unhideWhenUsed/>
    <w:qFormat/>
    <w:pPr>
      <w:keepNext/>
      <w:spacing w:before="240" w:after="60"/>
      <w:outlineLvl w:val="1"/>
    </w:pPr>
    <w:rPr>
      <w:rFonts w:ascii="Calibri Light" w:hAnsi="Calibri Light" w:cs="Calibri Light"/>
      <w:b/>
      <w:i/>
      <w:sz w:val="28"/>
    </w:rPr>
  </w:style>
  <w:style w:type="paragraph" w:styleId="Nagwek3">
    <w:name w:val="heading 3"/>
    <w:basedOn w:val="Normalny"/>
    <w:next w:val="Normalny"/>
    <w:link w:val="Nagwek3Znak"/>
    <w:uiPriority w:val="9"/>
    <w:unhideWhenUsed/>
    <w:qFormat/>
    <w:pPr>
      <w:keepNext/>
      <w:spacing w:before="240" w:after="60"/>
      <w:outlineLvl w:val="2"/>
    </w:pPr>
    <w:rPr>
      <w:rFonts w:ascii="Calibri Light" w:hAnsi="Calibri Light" w:cs="Calibri Light"/>
      <w:b/>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character" w:styleId="Odwoaniedokomentarza">
    <w:name w:val="annotation reference"/>
    <w:uiPriority w:val="99"/>
    <w:rPr>
      <w:sz w:val="16"/>
    </w:rPr>
  </w:style>
  <w:style w:type="paragraph" w:styleId="Tekstkomentarza">
    <w:name w:val="annotation text"/>
    <w:basedOn w:val="Normalny"/>
    <w:link w:val="TekstkomentarzaZnak"/>
    <w:uiPriority w:val="99"/>
    <w:rPr>
      <w:sz w:val="20"/>
    </w:rPr>
  </w:style>
  <w:style w:type="character" w:customStyle="1" w:styleId="TekstkomentarzaZnak">
    <w:name w:val="Tekst komentarza Znak"/>
    <w:link w:val="Tekstkomentarza"/>
    <w:uiPriority w:val="99"/>
  </w:style>
  <w:style w:type="paragraph" w:styleId="Tematkomentarza">
    <w:name w:val="annotation subject"/>
    <w:basedOn w:val="Tekstkomentarza"/>
    <w:next w:val="Tekstkomentarza"/>
    <w:link w:val="TematkomentarzaZnak"/>
    <w:uiPriority w:val="99"/>
    <w:rPr>
      <w:b/>
    </w:rPr>
  </w:style>
  <w:style w:type="character" w:customStyle="1" w:styleId="TematkomentarzaZnak">
    <w:name w:val="Temat komentarza Znak"/>
    <w:link w:val="Tematkomentarza"/>
    <w:uiPriority w:val="99"/>
    <w:rPr>
      <w:b/>
    </w:rPr>
  </w:style>
  <w:style w:type="paragraph" w:styleId="Tekstdymka">
    <w:name w:val="Balloon Text"/>
    <w:basedOn w:val="Normalny"/>
    <w:link w:val="TekstdymkaZnak"/>
    <w:uiPriority w:val="99"/>
    <w:pPr>
      <w:spacing w:after="0" w:line="240" w:lineRule="auto"/>
    </w:pPr>
    <w:rPr>
      <w:rFonts w:ascii="Tahoma" w:hAnsi="Tahoma" w:cs="Tahoma"/>
      <w:sz w:val="16"/>
    </w:rPr>
  </w:style>
  <w:style w:type="character" w:customStyle="1" w:styleId="TekstdymkaZnak">
    <w:name w:val="Tekst dymka Znak"/>
    <w:link w:val="Tekstdymka"/>
    <w:uiPriority w:val="99"/>
    <w:rPr>
      <w:rFonts w:ascii="Tahoma" w:hAnsi="Tahoma" w:cs="Tahoma"/>
      <w:sz w:val="16"/>
    </w:rPr>
  </w:style>
  <w:style w:type="character" w:customStyle="1" w:styleId="Nagwek1Znak">
    <w:name w:val="Nagłówek 1 Znak"/>
    <w:basedOn w:val="Domylnaczcionkaakapitu"/>
    <w:link w:val="Nagwek1"/>
    <w:uiPriority w:val="9"/>
    <w:rPr>
      <w:rFonts w:asciiTheme="majorHAnsi" w:hAnsiTheme="majorHAnsi" w:cs="Calibri Light"/>
      <w:color w:val="2F5496" w:themeColor="accent1" w:themeShade="BF"/>
      <w:sz w:val="32"/>
    </w:rPr>
  </w:style>
  <w:style w:type="paragraph" w:styleId="Nagwekspisutreci">
    <w:name w:val="TOC Heading"/>
    <w:basedOn w:val="Nagwek1"/>
    <w:next w:val="Normalny"/>
    <w:uiPriority w:val="39"/>
    <w:qFormat/>
    <w:pPr>
      <w:spacing w:line="259" w:lineRule="auto"/>
      <w:outlineLvl w:val="9"/>
    </w:pPr>
    <w:rPr>
      <w:rFonts w:ascii="Calibri Light" w:hAnsi="Calibri Light"/>
      <w:color w:val="2E74B5"/>
    </w:rPr>
  </w:style>
  <w:style w:type="paragraph" w:styleId="Spistreci1">
    <w:name w:val="toc 1"/>
    <w:basedOn w:val="Normalny"/>
    <w:next w:val="Normalny"/>
    <w:uiPriority w:val="39"/>
    <w:rPr>
      <w:sz w:val="28"/>
    </w:rPr>
  </w:style>
  <w:style w:type="paragraph" w:styleId="Spistreci2">
    <w:name w:val="toc 2"/>
    <w:basedOn w:val="Normalny"/>
    <w:next w:val="Normalny"/>
    <w:uiPriority w:val="39"/>
    <w:pPr>
      <w:ind w:left="220"/>
    </w:pPr>
    <w:rPr>
      <w:sz w:val="28"/>
    </w:rPr>
  </w:style>
  <w:style w:type="character" w:styleId="Hipercze">
    <w:name w:val="Hyperlink"/>
    <w:uiPriority w:val="99"/>
    <w:rPr>
      <w:color w:val="0563C1"/>
      <w:u w:val="single"/>
    </w:rPr>
  </w:style>
  <w:style w:type="paragraph" w:styleId="Spistreci3">
    <w:name w:val="toc 3"/>
    <w:basedOn w:val="Normalny"/>
    <w:next w:val="Normalny"/>
    <w:uiPriority w:val="39"/>
    <w:pPr>
      <w:spacing w:after="100"/>
      <w:ind w:left="440"/>
    </w:pPr>
    <w:rPr>
      <w:sz w:val="28"/>
    </w:rPr>
  </w:style>
  <w:style w:type="character" w:customStyle="1" w:styleId="Nagwek2Znak">
    <w:name w:val="Nagłówek 2 Znak"/>
    <w:link w:val="Nagwek2"/>
    <w:uiPriority w:val="9"/>
    <w:rPr>
      <w:rFonts w:ascii="Calibri Light" w:hAnsi="Calibri Light" w:cs="Calibri Light"/>
      <w:b/>
      <w:i/>
      <w:sz w:val="28"/>
    </w:rPr>
  </w:style>
  <w:style w:type="character" w:customStyle="1" w:styleId="Nagwek3Znak">
    <w:name w:val="Nagłówek 3 Znak"/>
    <w:link w:val="Nagwek3"/>
    <w:uiPriority w:val="9"/>
    <w:rPr>
      <w:rFonts w:ascii="Calibri Light" w:hAnsi="Calibri Light" w:cs="Calibri Light"/>
      <w:b/>
      <w:sz w:val="26"/>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4">
    <w:name w:val="toc 4"/>
    <w:basedOn w:val="Normalny"/>
    <w:next w:val="Normalny"/>
    <w:autoRedefine/>
    <w:uiPriority w:val="39"/>
    <w:unhideWhenUsed/>
    <w:rsid w:val="0088375F"/>
    <w:pPr>
      <w:spacing w:after="100" w:line="278" w:lineRule="auto"/>
      <w:ind w:left="720"/>
    </w:pPr>
    <w:rPr>
      <w:rFonts w:eastAsiaTheme="minorEastAsia" w:cstheme="minorBidi"/>
      <w:kern w:val="2"/>
      <w:sz w:val="24"/>
      <w:szCs w:val="24"/>
      <w14:ligatures w14:val="standardContextual"/>
    </w:rPr>
  </w:style>
  <w:style w:type="paragraph" w:styleId="Spistreci5">
    <w:name w:val="toc 5"/>
    <w:basedOn w:val="Normalny"/>
    <w:next w:val="Normalny"/>
    <w:autoRedefine/>
    <w:uiPriority w:val="39"/>
    <w:unhideWhenUsed/>
    <w:rsid w:val="0088375F"/>
    <w:pPr>
      <w:spacing w:after="100" w:line="278" w:lineRule="auto"/>
      <w:ind w:left="960"/>
    </w:pPr>
    <w:rPr>
      <w:rFonts w:eastAsiaTheme="minorEastAsia" w:cstheme="minorBidi"/>
      <w:kern w:val="2"/>
      <w:sz w:val="24"/>
      <w:szCs w:val="24"/>
      <w14:ligatures w14:val="standardContextual"/>
    </w:rPr>
  </w:style>
  <w:style w:type="paragraph" w:styleId="Spistreci6">
    <w:name w:val="toc 6"/>
    <w:basedOn w:val="Normalny"/>
    <w:next w:val="Normalny"/>
    <w:autoRedefine/>
    <w:uiPriority w:val="39"/>
    <w:unhideWhenUsed/>
    <w:rsid w:val="0088375F"/>
    <w:pPr>
      <w:spacing w:after="100" w:line="278" w:lineRule="auto"/>
      <w:ind w:left="1200"/>
    </w:pPr>
    <w:rPr>
      <w:rFonts w:eastAsiaTheme="minorEastAsia" w:cstheme="minorBidi"/>
      <w:kern w:val="2"/>
      <w:sz w:val="24"/>
      <w:szCs w:val="24"/>
      <w14:ligatures w14:val="standardContextual"/>
    </w:rPr>
  </w:style>
  <w:style w:type="paragraph" w:styleId="Spistreci7">
    <w:name w:val="toc 7"/>
    <w:basedOn w:val="Normalny"/>
    <w:next w:val="Normalny"/>
    <w:autoRedefine/>
    <w:uiPriority w:val="39"/>
    <w:unhideWhenUsed/>
    <w:rsid w:val="0088375F"/>
    <w:pPr>
      <w:spacing w:after="100" w:line="278" w:lineRule="auto"/>
      <w:ind w:left="1440"/>
    </w:pPr>
    <w:rPr>
      <w:rFonts w:eastAsiaTheme="minorEastAsia" w:cstheme="minorBidi"/>
      <w:kern w:val="2"/>
      <w:sz w:val="24"/>
      <w:szCs w:val="24"/>
      <w14:ligatures w14:val="standardContextual"/>
    </w:rPr>
  </w:style>
  <w:style w:type="paragraph" w:styleId="Spistreci8">
    <w:name w:val="toc 8"/>
    <w:basedOn w:val="Normalny"/>
    <w:next w:val="Normalny"/>
    <w:autoRedefine/>
    <w:uiPriority w:val="39"/>
    <w:unhideWhenUsed/>
    <w:rsid w:val="0088375F"/>
    <w:pPr>
      <w:spacing w:after="100" w:line="278" w:lineRule="auto"/>
      <w:ind w:left="1680"/>
    </w:pPr>
    <w:rPr>
      <w:rFonts w:eastAsiaTheme="minorEastAsia" w:cstheme="minorBidi"/>
      <w:kern w:val="2"/>
      <w:sz w:val="24"/>
      <w:szCs w:val="24"/>
      <w14:ligatures w14:val="standardContextual"/>
    </w:rPr>
  </w:style>
  <w:style w:type="paragraph" w:styleId="Spistreci9">
    <w:name w:val="toc 9"/>
    <w:basedOn w:val="Normalny"/>
    <w:next w:val="Normalny"/>
    <w:autoRedefine/>
    <w:uiPriority w:val="39"/>
    <w:unhideWhenUsed/>
    <w:rsid w:val="0088375F"/>
    <w:pPr>
      <w:spacing w:after="100" w:line="278" w:lineRule="auto"/>
      <w:ind w:left="1920"/>
    </w:pPr>
    <w:rPr>
      <w:rFonts w:eastAsiaTheme="minorEastAsia" w:cstheme="minorBidi"/>
      <w:kern w:val="2"/>
      <w:sz w:val="24"/>
      <w:szCs w:val="24"/>
      <w14:ligatures w14:val="standardContextual"/>
    </w:rPr>
  </w:style>
  <w:style w:type="character" w:styleId="Nierozpoznanawzmianka">
    <w:name w:val="Unresolved Mention"/>
    <w:basedOn w:val="Domylnaczcionkaakapitu"/>
    <w:uiPriority w:val="99"/>
    <w:semiHidden/>
    <w:unhideWhenUsed/>
    <w:rsid w:val="008837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B07AA-62C3-42CB-A6F9-6D57F7205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88</Pages>
  <Words>133304</Words>
  <Characters>799828</Characters>
  <Application>Microsoft Office Word</Application>
  <DocSecurity>0</DocSecurity>
  <Lines>6665</Lines>
  <Paragraphs>1862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zmieniającej uchwałę w sprawie przyjęcia Szczegółowego Opisu Priorytetów programu Fundusze Europejskie dla Lubelskiego 2021-2027</dc:title>
  <cp:lastModifiedBy>DZ PR</cp:lastModifiedBy>
  <cp:revision>13</cp:revision>
  <cp:lastPrinted>2026-09-30T11:46:00Z</cp:lastPrinted>
  <dcterms:created xsi:type="dcterms:W3CDTF">2026-09-30T11:39:00Z</dcterms:created>
  <dcterms:modified xsi:type="dcterms:W3CDTF">2026-09-30T12:10:00Z</dcterms:modified>
</cp:coreProperties>
</file>