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1FDF3F7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324E99E1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B4297">
        <w:rPr>
          <w:rFonts w:ascii="Arial" w:hAnsi="Arial" w:cs="Arial"/>
          <w:sz w:val="24"/>
          <w:szCs w:val="24"/>
        </w:rPr>
        <w:t>5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EB4297">
        <w:rPr>
          <w:rFonts w:ascii="Arial" w:hAnsi="Arial" w:cs="Arial"/>
          <w:sz w:val="24"/>
          <w:szCs w:val="24"/>
        </w:rPr>
        <w:t>178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5AACF85" w14:textId="7E7E6308" w:rsidR="000B3E73" w:rsidRPr="000B3E73" w:rsidRDefault="000B3E73" w:rsidP="000B3E73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Partner Wiodący i Partnerzy mają obowiązek przechowywać dokumenty dotyczące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zgodnie z art. 6 ust. 3 Rozporządzenia Komisji (UE) nr 2023/2831</w:t>
      </w:r>
      <w:r>
        <w:rPr>
          <w:rFonts w:ascii="Arial" w:hAnsi="Arial" w:cs="Arial"/>
        </w:rPr>
        <w:t xml:space="preserve"> z dnia 13 grudnia 2023 r. w sprawie stosowania art. 107 i 108 Traktatu o funkcjonowaniu Unii Europejskiej do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(Dz.U.UE.L.2023.2831 z dnia 15.12.2023 r. z późn.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9E31" w14:textId="77777777" w:rsidR="00104982" w:rsidRDefault="00104982" w:rsidP="002D7583">
      <w:r>
        <w:separator/>
      </w:r>
    </w:p>
  </w:endnote>
  <w:endnote w:type="continuationSeparator" w:id="0">
    <w:p w14:paraId="6A0E9551" w14:textId="77777777" w:rsidR="00104982" w:rsidRDefault="00104982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ABD6" w14:textId="77777777" w:rsidR="00104982" w:rsidRDefault="00104982" w:rsidP="002D7583">
      <w:r>
        <w:separator/>
      </w:r>
    </w:p>
  </w:footnote>
  <w:footnote w:type="continuationSeparator" w:id="0">
    <w:p w14:paraId="2301442F" w14:textId="77777777" w:rsidR="00104982" w:rsidRDefault="00104982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5696</Words>
  <Characters>34177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78</cp:revision>
  <cp:lastPrinted>2025-11-28T14:11:00Z</cp:lastPrinted>
  <dcterms:created xsi:type="dcterms:W3CDTF">2024-09-06T12:27:00Z</dcterms:created>
  <dcterms:modified xsi:type="dcterms:W3CDTF">2025-12-10T11:19:00Z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