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1DFF8646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związku z ubieganiem się o przyznanie dofinansowania w </w:t>
      </w:r>
      <w:r w:rsidR="008A7281" w:rsidRPr="008A7281">
        <w:rPr>
          <w:rFonts w:ascii="Arial" w:hAnsi="Arial" w:cs="Arial"/>
          <w:sz w:val="24"/>
          <w:szCs w:val="24"/>
        </w:rPr>
        <w:t>Działania 3.10 Ochrona bioróżnorodności na obszarach poza formami ochrony przyrody (typ projektu 1-9) Priorytetu III Ochrona zasobów środowiska i klimatu programu Fundusze Europejskie dla Lubelskiego 2021-2027</w:t>
      </w:r>
      <w:r w:rsidRPr="000D17E1">
        <w:rPr>
          <w:rFonts w:ascii="Arial" w:hAnsi="Arial" w:cs="Arial"/>
          <w:sz w:val="24"/>
          <w:szCs w:val="24"/>
        </w:rPr>
        <w:t xml:space="preserve"> 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1140B5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1140B5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1140B5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1140B5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660B" w14:textId="77777777" w:rsidR="005B20CF" w:rsidRDefault="005B20CF">
      <w:r>
        <w:separator/>
      </w:r>
    </w:p>
  </w:endnote>
  <w:endnote w:type="continuationSeparator" w:id="0">
    <w:p w14:paraId="4D5EB2B7" w14:textId="77777777" w:rsidR="005B20CF" w:rsidRDefault="005B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FF12" w14:textId="77777777" w:rsidR="005B20CF" w:rsidRDefault="005B20CF">
      <w:r>
        <w:separator/>
      </w:r>
    </w:p>
  </w:footnote>
  <w:footnote w:type="continuationSeparator" w:id="0">
    <w:p w14:paraId="2BFA618E" w14:textId="77777777" w:rsidR="005B20CF" w:rsidRDefault="005B20CF">
      <w:r>
        <w:continuationSeparator/>
      </w:r>
    </w:p>
  </w:footnote>
  <w:footnote w:id="1">
    <w:p w14:paraId="1C8458B7" w14:textId="75D33E9B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140B5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20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7281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268D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82C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Joanna Kiciak</cp:lastModifiedBy>
  <cp:revision>46</cp:revision>
  <cp:lastPrinted>2023-03-15T13:22:00Z</cp:lastPrinted>
  <dcterms:created xsi:type="dcterms:W3CDTF">2025-08-19T09:44:00Z</dcterms:created>
  <dcterms:modified xsi:type="dcterms:W3CDTF">2026-02-16T09:07:00Z</dcterms:modified>
</cp:coreProperties>
</file>