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4540AF4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547562">
        <w:rPr>
          <w:rFonts w:ascii="Arial" w:hAnsi="Arial" w:cs="Arial"/>
        </w:rPr>
        <w:t xml:space="preserve"> z </w:t>
      </w:r>
      <w:proofErr w:type="spellStart"/>
      <w:r w:rsidR="00547562">
        <w:rPr>
          <w:rFonts w:ascii="Arial" w:hAnsi="Arial" w:cs="Arial"/>
        </w:rPr>
        <w:t>późn</w:t>
      </w:r>
      <w:proofErr w:type="spellEnd"/>
      <w:r w:rsidR="00547562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2983DA02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54756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547562">
        <w:rPr>
          <w:rFonts w:ascii="Arial" w:hAnsi="Arial" w:cs="Arial"/>
          <w:sz w:val="24"/>
          <w:szCs w:val="24"/>
        </w:rPr>
        <w:t>późn</w:t>
      </w:r>
      <w:proofErr w:type="spellEnd"/>
      <w:r w:rsidR="00547562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547562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547562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wdrożyć odpowiednie instrumenty prawne regulujące kwestię przetwarzania przez nie danych osobowych w związku z </w:t>
      </w:r>
      <w:r w:rsidRPr="00015512">
        <w:rPr>
          <w:rStyle w:val="cf01"/>
          <w:rFonts w:ascii="Arial" w:hAnsi="Arial" w:cs="Arial"/>
          <w:sz w:val="24"/>
          <w:szCs w:val="24"/>
        </w:rPr>
        <w:lastRenderedPageBreak/>
        <w:t>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lastRenderedPageBreak/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86F1D3C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  <w:r w:rsidR="00663ECD" w:rsidRPr="00015512">
        <w:rPr>
          <w:rFonts w:ascii="Arial" w:hAnsi="Arial" w:cs="Arial"/>
        </w:rPr>
        <w:t>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5AACF85" w14:textId="7E7E6308" w:rsidR="000B3E73" w:rsidRPr="000B3E73" w:rsidRDefault="000B3E73" w:rsidP="000B3E73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6A73C0">
        <w:rPr>
          <w:rFonts w:ascii="Arial" w:hAnsi="Arial" w:cs="Arial"/>
        </w:rPr>
        <w:t xml:space="preserve">W przypadku gdy dofinansowanie udzielone w ramach </w:t>
      </w:r>
      <w:r>
        <w:rPr>
          <w:rFonts w:ascii="Arial" w:hAnsi="Arial" w:cs="Arial"/>
        </w:rPr>
        <w:t>p</w:t>
      </w:r>
      <w:r w:rsidRPr="006A73C0">
        <w:rPr>
          <w:rFonts w:ascii="Arial" w:hAnsi="Arial" w:cs="Arial"/>
        </w:rPr>
        <w:t xml:space="preserve">rojektu stanowi pomoc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, Partner Wiodący i Partnerzy mają obowiązek przechowywać dokumenty dotyczące pomocy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 przez okres 10 lat, ustalony zgodnie z art. 6 ust. 3 Rozporządzenia Komisji (UE) nr 2023/2831</w:t>
      </w:r>
      <w:r>
        <w:rPr>
          <w:rFonts w:ascii="Arial" w:hAnsi="Arial" w:cs="Arial"/>
        </w:rPr>
        <w:t xml:space="preserve"> z dnia 13 grudnia 2023 r. w sprawie stosowania art. 107 i 108 Traktatu o funkcjonowaniu Unii Europejskiej do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(Dz.U.UE.L.2023.2831 z dnia 15.12.2023 r. z późn. zm.)</w:t>
      </w:r>
      <w:r w:rsidRPr="006A73C0">
        <w:rPr>
          <w:rFonts w:ascii="Arial" w:hAnsi="Arial" w:cs="Arial"/>
        </w:rPr>
        <w:t>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</w:t>
      </w:r>
      <w:r w:rsidR="00995396" w:rsidRPr="00015512">
        <w:lastRenderedPageBreak/>
        <w:t xml:space="preserve">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przypadku rażącego naruszenia obowiązków Partnera wynikających z umowy lub umowy o dofinansowanie projektu. Strony umowy zobowiązują się do podjęcia </w:t>
      </w:r>
      <w:r w:rsidRPr="00015512">
        <w:rPr>
          <w:rFonts w:ascii="Arial" w:hAnsi="Arial" w:cs="Arial"/>
          <w:sz w:val="24"/>
          <w:szCs w:val="24"/>
        </w:rPr>
        <w:lastRenderedPageBreak/>
        <w:t>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BD51" w14:textId="77777777" w:rsidR="00146A88" w:rsidRDefault="00146A88" w:rsidP="002D7583">
      <w:r>
        <w:separator/>
      </w:r>
    </w:p>
  </w:endnote>
  <w:endnote w:type="continuationSeparator" w:id="0">
    <w:p w14:paraId="402D77DC" w14:textId="77777777" w:rsidR="00146A88" w:rsidRDefault="00146A88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31E1" w14:textId="77777777" w:rsidR="00146A88" w:rsidRDefault="00146A88" w:rsidP="002D7583">
      <w:r>
        <w:separator/>
      </w:r>
    </w:p>
  </w:footnote>
  <w:footnote w:type="continuationSeparator" w:id="0">
    <w:p w14:paraId="1B7B32D5" w14:textId="77777777" w:rsidR="00146A88" w:rsidRDefault="00146A88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976B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B14">
        <w:rPr>
          <w:rFonts w:ascii="Arial" w:hAnsi="Arial" w:cs="Arial"/>
          <w:sz w:val="16"/>
          <w:szCs w:val="16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C43ABF" w:rsidRDefault="00862271" w:rsidP="00426E34">
      <w:pPr>
        <w:pStyle w:val="pf0"/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A88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562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59DD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CB"/>
    <w:rsid w:val="008132F5"/>
    <w:rsid w:val="008142BB"/>
    <w:rsid w:val="00817A7D"/>
    <w:rsid w:val="0082136A"/>
    <w:rsid w:val="00822204"/>
    <w:rsid w:val="00823747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043E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5697</Words>
  <Characters>34187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Patrycja Bieńczak-Kożusznik</cp:lastModifiedBy>
  <cp:revision>81</cp:revision>
  <cp:lastPrinted>2026-05-25T11:47:00Z</cp:lastPrinted>
  <dcterms:created xsi:type="dcterms:W3CDTF">2024-09-06T12:27:00Z</dcterms:created>
  <dcterms:modified xsi:type="dcterms:W3CDTF">2026-05-26T12:39:00Z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