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D9BB6" w14:textId="77777777" w:rsidR="00FF7718" w:rsidRPr="00FA7994" w:rsidRDefault="00FF7718" w:rsidP="00FA7994">
      <w:pPr>
        <w:rPr>
          <w:rFonts w:ascii="Arial" w:hAnsi="Arial" w:cs="Arial"/>
          <w:b/>
          <w:i/>
          <w:sz w:val="24"/>
          <w:szCs w:val="24"/>
        </w:rPr>
      </w:pPr>
    </w:p>
    <w:p w14:paraId="43AB4DFD" w14:textId="05D56872" w:rsidR="007331A9" w:rsidRPr="00FA7994" w:rsidRDefault="001C5394" w:rsidP="00FA7994">
      <w:pPr>
        <w:rPr>
          <w:rFonts w:ascii="Arial" w:hAnsi="Arial" w:cs="Arial"/>
          <w:b/>
          <w:i/>
          <w:sz w:val="24"/>
          <w:szCs w:val="24"/>
        </w:rPr>
      </w:pPr>
      <w:r w:rsidRPr="00FA7994">
        <w:rPr>
          <w:rFonts w:ascii="Arial" w:hAnsi="Arial" w:cs="Arial"/>
          <w:b/>
          <w:i/>
          <w:sz w:val="24"/>
          <w:szCs w:val="24"/>
        </w:rPr>
        <w:t xml:space="preserve">Załącznik nr </w:t>
      </w:r>
      <w:ins w:id="0" w:author="DW EFRR" w:date="2023-04-03T14:46:00Z">
        <w:r w:rsidR="00C42DA7">
          <w:rPr>
            <w:rFonts w:ascii="Arial" w:hAnsi="Arial" w:cs="Arial"/>
            <w:b/>
            <w:i/>
            <w:sz w:val="24"/>
            <w:szCs w:val="24"/>
          </w:rPr>
          <w:t>3</w:t>
        </w:r>
      </w:ins>
      <w:del w:id="1" w:author="DW EFRR" w:date="2023-04-03T14:46:00Z">
        <w:r w:rsidR="009D1BA4" w:rsidRPr="00FA7994" w:rsidDel="00C42DA7">
          <w:rPr>
            <w:rFonts w:ascii="Arial" w:hAnsi="Arial" w:cs="Arial"/>
            <w:b/>
            <w:i/>
            <w:sz w:val="24"/>
            <w:szCs w:val="24"/>
          </w:rPr>
          <w:delText>2</w:delText>
        </w:r>
      </w:del>
      <w:r w:rsidR="009518B4" w:rsidRPr="00FA7994">
        <w:rPr>
          <w:rFonts w:ascii="Arial" w:hAnsi="Arial" w:cs="Arial"/>
          <w:b/>
          <w:i/>
          <w:sz w:val="24"/>
          <w:szCs w:val="24"/>
        </w:rPr>
        <w:t xml:space="preserve"> </w:t>
      </w:r>
      <w:r w:rsidR="009B5BC2" w:rsidRPr="00FA7994">
        <w:rPr>
          <w:rFonts w:ascii="Arial" w:hAnsi="Arial" w:cs="Arial"/>
          <w:b/>
          <w:i/>
          <w:sz w:val="24"/>
          <w:szCs w:val="24"/>
        </w:rPr>
        <w:t>Opis wskaźników dla Działania 4.7 Zwiększenie wykorzystania Odnawialnych Źródeł Energi</w:t>
      </w:r>
      <w:r w:rsidR="0058468E" w:rsidRPr="00FA7994">
        <w:rPr>
          <w:rFonts w:ascii="Arial" w:hAnsi="Arial" w:cs="Arial"/>
          <w:b/>
          <w:i/>
          <w:sz w:val="24"/>
          <w:szCs w:val="24"/>
        </w:rPr>
        <w:t>i</w:t>
      </w:r>
      <w:r w:rsidR="009B5BC2" w:rsidRPr="00FA7994">
        <w:rPr>
          <w:rFonts w:ascii="Arial" w:hAnsi="Arial" w:cs="Arial"/>
          <w:b/>
          <w:i/>
          <w:sz w:val="24"/>
          <w:szCs w:val="24"/>
        </w:rPr>
        <w:t xml:space="preserve"> Programu Fundusze Europejskie dla Lubelskiego 2021-2027 – tryb niekonkurencyjny</w:t>
      </w:r>
    </w:p>
    <w:tbl>
      <w:tblPr>
        <w:tblStyle w:val="Siatkatabelijasna"/>
        <w:tblW w:w="0" w:type="auto"/>
        <w:tblLook w:val="04A0" w:firstRow="1" w:lastRow="0" w:firstColumn="1" w:lastColumn="0" w:noHBand="0" w:noVBand="1"/>
      </w:tblPr>
      <w:tblGrid>
        <w:gridCol w:w="576"/>
        <w:gridCol w:w="4156"/>
        <w:gridCol w:w="1914"/>
        <w:gridCol w:w="1404"/>
        <w:gridCol w:w="6226"/>
      </w:tblGrid>
      <w:tr w:rsidR="003B4CC9" w:rsidRPr="00FA7994" w14:paraId="00FC4D77" w14:textId="77777777" w:rsidTr="00AB154E">
        <w:tc>
          <w:tcPr>
            <w:tcW w:w="0" w:type="auto"/>
          </w:tcPr>
          <w:p w14:paraId="1DDBB795" w14:textId="77777777" w:rsidR="003B4CC9" w:rsidRPr="00FA7994" w:rsidRDefault="003B4CC9" w:rsidP="00FA7994">
            <w:pPr>
              <w:rPr>
                <w:rFonts w:ascii="Arial" w:hAnsi="Arial" w:cs="Arial"/>
                <w:b/>
                <w:sz w:val="24"/>
                <w:szCs w:val="24"/>
              </w:rPr>
            </w:pPr>
            <w:r w:rsidRPr="00FA7994">
              <w:rPr>
                <w:rFonts w:ascii="Arial" w:hAnsi="Arial" w:cs="Arial"/>
                <w:b/>
                <w:sz w:val="24"/>
                <w:szCs w:val="24"/>
              </w:rPr>
              <w:t>Lp.</w:t>
            </w:r>
          </w:p>
        </w:tc>
        <w:tc>
          <w:tcPr>
            <w:tcW w:w="0" w:type="auto"/>
          </w:tcPr>
          <w:p w14:paraId="111E8C59" w14:textId="77777777" w:rsidR="003B4CC9" w:rsidRPr="00FA7994" w:rsidRDefault="003B4CC9" w:rsidP="00FA7994">
            <w:pPr>
              <w:rPr>
                <w:rFonts w:ascii="Arial" w:hAnsi="Arial" w:cs="Arial"/>
                <w:b/>
                <w:sz w:val="24"/>
                <w:szCs w:val="24"/>
              </w:rPr>
            </w:pPr>
            <w:r w:rsidRPr="00FA7994">
              <w:rPr>
                <w:rFonts w:ascii="Arial" w:hAnsi="Arial" w:cs="Arial"/>
                <w:b/>
                <w:sz w:val="24"/>
                <w:szCs w:val="24"/>
              </w:rPr>
              <w:t>Nazwa wskaźnika</w:t>
            </w:r>
          </w:p>
        </w:tc>
        <w:tc>
          <w:tcPr>
            <w:tcW w:w="0" w:type="auto"/>
          </w:tcPr>
          <w:p w14:paraId="5BFAF52B" w14:textId="77777777" w:rsidR="003B4CC9" w:rsidRPr="00FA7994" w:rsidRDefault="003B4CC9" w:rsidP="00FA7994">
            <w:pPr>
              <w:rPr>
                <w:rFonts w:ascii="Arial" w:hAnsi="Arial" w:cs="Arial"/>
                <w:b/>
                <w:sz w:val="24"/>
                <w:szCs w:val="24"/>
              </w:rPr>
            </w:pPr>
            <w:r w:rsidRPr="00FA7994">
              <w:rPr>
                <w:rFonts w:ascii="Arial" w:hAnsi="Arial" w:cs="Arial"/>
                <w:b/>
                <w:sz w:val="24"/>
                <w:szCs w:val="24"/>
              </w:rPr>
              <w:t>Jednostka</w:t>
            </w:r>
          </w:p>
          <w:p w14:paraId="459C4D5C" w14:textId="77777777" w:rsidR="003B4CC9" w:rsidRPr="00FA7994" w:rsidRDefault="003B4CC9" w:rsidP="00FA7994">
            <w:pPr>
              <w:rPr>
                <w:rFonts w:ascii="Arial" w:hAnsi="Arial" w:cs="Arial"/>
                <w:b/>
                <w:sz w:val="24"/>
                <w:szCs w:val="24"/>
              </w:rPr>
            </w:pPr>
            <w:r w:rsidRPr="00FA7994">
              <w:rPr>
                <w:rFonts w:ascii="Arial" w:hAnsi="Arial" w:cs="Arial"/>
                <w:b/>
                <w:sz w:val="24"/>
                <w:szCs w:val="24"/>
              </w:rPr>
              <w:t>miary</w:t>
            </w:r>
          </w:p>
        </w:tc>
        <w:tc>
          <w:tcPr>
            <w:tcW w:w="0" w:type="auto"/>
          </w:tcPr>
          <w:p w14:paraId="18509AFD" w14:textId="77777777" w:rsidR="003B4CC9" w:rsidRPr="00FA7994" w:rsidRDefault="003B4CC9" w:rsidP="00FA7994">
            <w:pPr>
              <w:rPr>
                <w:rFonts w:ascii="Arial" w:hAnsi="Arial" w:cs="Arial"/>
                <w:b/>
                <w:sz w:val="24"/>
                <w:szCs w:val="24"/>
              </w:rPr>
            </w:pPr>
            <w:r w:rsidRPr="00FA7994">
              <w:rPr>
                <w:rFonts w:ascii="Arial" w:hAnsi="Arial" w:cs="Arial"/>
                <w:b/>
                <w:sz w:val="24"/>
                <w:szCs w:val="24"/>
              </w:rPr>
              <w:t>Rodzaj</w:t>
            </w:r>
          </w:p>
          <w:p w14:paraId="6756AA35" w14:textId="77777777" w:rsidR="003B4CC9" w:rsidRPr="00FA7994" w:rsidRDefault="003B4CC9" w:rsidP="00FA7994">
            <w:pPr>
              <w:rPr>
                <w:rFonts w:ascii="Arial" w:hAnsi="Arial" w:cs="Arial"/>
                <w:b/>
                <w:sz w:val="24"/>
                <w:szCs w:val="24"/>
              </w:rPr>
            </w:pPr>
            <w:r w:rsidRPr="00FA7994">
              <w:rPr>
                <w:rFonts w:ascii="Arial" w:hAnsi="Arial" w:cs="Arial"/>
                <w:b/>
                <w:sz w:val="24"/>
                <w:szCs w:val="24"/>
              </w:rPr>
              <w:t>wskaźnika</w:t>
            </w:r>
          </w:p>
        </w:tc>
        <w:tc>
          <w:tcPr>
            <w:tcW w:w="0" w:type="auto"/>
          </w:tcPr>
          <w:p w14:paraId="02CCAC58" w14:textId="77777777" w:rsidR="003B4CC9" w:rsidRPr="00FA7994" w:rsidRDefault="003B4CC9" w:rsidP="00FA7994">
            <w:pPr>
              <w:rPr>
                <w:rFonts w:ascii="Arial" w:hAnsi="Arial" w:cs="Arial"/>
                <w:b/>
                <w:sz w:val="24"/>
                <w:szCs w:val="24"/>
              </w:rPr>
            </w:pPr>
            <w:r w:rsidRPr="00FA7994">
              <w:rPr>
                <w:rFonts w:ascii="Arial" w:hAnsi="Arial" w:cs="Arial"/>
                <w:b/>
                <w:sz w:val="24"/>
                <w:szCs w:val="24"/>
              </w:rPr>
              <w:t>Definicja</w:t>
            </w:r>
          </w:p>
        </w:tc>
      </w:tr>
      <w:tr w:rsidR="003B4CC9" w:rsidRPr="00FA7994" w14:paraId="46695DD5" w14:textId="77777777" w:rsidTr="00AB154E">
        <w:tc>
          <w:tcPr>
            <w:tcW w:w="0" w:type="auto"/>
          </w:tcPr>
          <w:p w14:paraId="6A348920" w14:textId="77777777" w:rsidR="003B4CC9" w:rsidRPr="00FA7994" w:rsidRDefault="003B4CC9" w:rsidP="00FA7994">
            <w:pPr>
              <w:rPr>
                <w:rFonts w:ascii="Arial" w:hAnsi="Arial" w:cs="Arial"/>
                <w:sz w:val="24"/>
                <w:szCs w:val="24"/>
              </w:rPr>
            </w:pPr>
            <w:r w:rsidRPr="00FA7994">
              <w:rPr>
                <w:rFonts w:ascii="Arial" w:hAnsi="Arial" w:cs="Arial"/>
                <w:sz w:val="24"/>
                <w:szCs w:val="24"/>
              </w:rPr>
              <w:t>1.</w:t>
            </w:r>
          </w:p>
        </w:tc>
        <w:tc>
          <w:tcPr>
            <w:tcW w:w="0" w:type="auto"/>
          </w:tcPr>
          <w:p w14:paraId="7C7D789E" w14:textId="77777777" w:rsidR="003B4CC9" w:rsidRPr="00FA7994" w:rsidRDefault="008A77EF" w:rsidP="00FA7994">
            <w:pPr>
              <w:rPr>
                <w:rFonts w:ascii="Arial" w:hAnsi="Arial" w:cs="Arial"/>
                <w:sz w:val="24"/>
                <w:szCs w:val="24"/>
              </w:rPr>
            </w:pPr>
            <w:r w:rsidRPr="00FB0C1F">
              <w:rPr>
                <w:rFonts w:ascii="Arial" w:hAnsi="Arial" w:cs="Arial"/>
                <w:sz w:val="24"/>
                <w:szCs w:val="24"/>
              </w:rPr>
              <w:t>RCO097</w:t>
            </w:r>
            <w:r w:rsidRPr="00FA7994">
              <w:rPr>
                <w:rFonts w:ascii="Arial" w:hAnsi="Arial" w:cs="Arial"/>
                <w:sz w:val="24"/>
                <w:szCs w:val="24"/>
              </w:rPr>
              <w:t xml:space="preserve"> Liczba wspartych społeczności energetycznych działających w zakresie energii odnawialnej.</w:t>
            </w:r>
          </w:p>
        </w:tc>
        <w:tc>
          <w:tcPr>
            <w:tcW w:w="0" w:type="auto"/>
          </w:tcPr>
          <w:p w14:paraId="748936FD" w14:textId="77777777" w:rsidR="003B4CC9" w:rsidRPr="00FA7994" w:rsidRDefault="000E1C7F"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4F0F6FD6" w14:textId="325F41CE" w:rsidR="003B4CC9" w:rsidRPr="00FA7994" w:rsidRDefault="00F3276E" w:rsidP="00FA7994">
            <w:pPr>
              <w:rPr>
                <w:rFonts w:ascii="Arial" w:hAnsi="Arial" w:cs="Arial"/>
                <w:sz w:val="24"/>
                <w:szCs w:val="24"/>
              </w:rPr>
            </w:pPr>
            <w:r>
              <w:rPr>
                <w:rFonts w:ascii="Arial" w:hAnsi="Arial" w:cs="Arial"/>
                <w:sz w:val="24"/>
                <w:szCs w:val="24"/>
              </w:rPr>
              <w:t>p</w:t>
            </w:r>
            <w:r w:rsidR="001B7FE3" w:rsidRPr="00FA7994">
              <w:rPr>
                <w:rFonts w:ascii="Arial" w:hAnsi="Arial" w:cs="Arial"/>
                <w:sz w:val="24"/>
                <w:szCs w:val="24"/>
              </w:rPr>
              <w:t>rodukt</w:t>
            </w:r>
          </w:p>
          <w:p w14:paraId="1E423C30" w14:textId="77777777" w:rsidR="005F3632" w:rsidRPr="00FA7994" w:rsidRDefault="005F3632" w:rsidP="00FA7994">
            <w:pPr>
              <w:rPr>
                <w:rFonts w:ascii="Arial" w:hAnsi="Arial" w:cs="Arial"/>
                <w:sz w:val="24"/>
                <w:szCs w:val="24"/>
              </w:rPr>
            </w:pPr>
          </w:p>
        </w:tc>
        <w:tc>
          <w:tcPr>
            <w:tcW w:w="0" w:type="auto"/>
          </w:tcPr>
          <w:p w14:paraId="6E0BAFF0" w14:textId="77777777" w:rsidR="000E1C7F" w:rsidRPr="00FA7994" w:rsidRDefault="000E1C7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 xml:space="preserve">Liczba wspartych społeczności energetycznych działających w zakresie energii odnawialnej. Społeczność energetyczna działających w zakresie energii odnawialnej oznacza podmiot prawny, która spełnia następujące trzy warunki: </w:t>
            </w:r>
          </w:p>
          <w:p w14:paraId="5169745C" w14:textId="77777777" w:rsidR="000E1C7F" w:rsidRPr="00FA7994" w:rsidRDefault="000E1C7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 xml:space="preserve">a) opiera się na otwartym i dobrowolnym uczestnictwie, jest niezależny i jest skutecznie kontrolowany przez udziałowców lub członków zlokalizowanych w niewielkiej odległości od projektów dotyczących energii odnawialnej będących własnością tego podmiotu prawnego i przez niego rozwijanych; </w:t>
            </w:r>
          </w:p>
          <w:p w14:paraId="55A1D618" w14:textId="77777777" w:rsidR="003B4CC9" w:rsidRPr="00FA7994" w:rsidRDefault="000E1C7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b) jego udziałowcy lub członkowie są osobami fizycznymi, MŚP lub organami lokalnymi, w tym gminnymi;</w:t>
            </w:r>
          </w:p>
          <w:p w14:paraId="3C9F4D68" w14:textId="77777777" w:rsidR="00401C4F" w:rsidRPr="00FA7994" w:rsidRDefault="00401C4F"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 xml:space="preserve">Energia odnawialna oznacza „energię z odnawialnych źródeł niekopalnych, a mianowicie energię wiatru, energię promieniowania słonecznego (energię słoneczną termiczną i energię fotowoltaiczną) oraz energię geotermalną, energię otoczenia, energię </w:t>
            </w:r>
            <w:r w:rsidRPr="00FA7994">
              <w:rPr>
                <w:rFonts w:ascii="Arial" w:hAnsi="Arial" w:cs="Arial"/>
                <w:i/>
                <w:color w:val="000000"/>
                <w:sz w:val="24"/>
                <w:szCs w:val="24"/>
              </w:rPr>
              <w:lastRenderedPageBreak/>
              <w:t xml:space="preserve">pływów, fal i inną energię oceanów, hydroenergię, biomasę oraz gaz pochodzący z wysypisk śmieci, oczyszczalni ścieków i ze źródeł biologicznych (biogaz)”. (Zob. dyrektywę 2018/2011).  </w:t>
            </w:r>
          </w:p>
        </w:tc>
      </w:tr>
      <w:tr w:rsidR="00956496" w:rsidRPr="00FA7994" w14:paraId="358D8E86" w14:textId="77777777" w:rsidTr="00AB154E">
        <w:tc>
          <w:tcPr>
            <w:tcW w:w="0" w:type="auto"/>
          </w:tcPr>
          <w:p w14:paraId="5341800E"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2.</w:t>
            </w:r>
          </w:p>
        </w:tc>
        <w:tc>
          <w:tcPr>
            <w:tcW w:w="0" w:type="auto"/>
          </w:tcPr>
          <w:p w14:paraId="12DA8476" w14:textId="77777777" w:rsidR="00956496" w:rsidRPr="00FA7994" w:rsidRDefault="00956496" w:rsidP="00FA7994">
            <w:pPr>
              <w:rPr>
                <w:rFonts w:ascii="Arial" w:hAnsi="Arial" w:cs="Arial"/>
                <w:sz w:val="24"/>
                <w:szCs w:val="24"/>
              </w:rPr>
            </w:pPr>
            <w:r w:rsidRPr="00FA7994">
              <w:rPr>
                <w:rFonts w:ascii="Arial" w:hAnsi="Arial" w:cs="Arial"/>
                <w:sz w:val="24"/>
                <w:szCs w:val="24"/>
              </w:rPr>
              <w:t>PLRO026 Dodatkowa zdolność wytwarzania energii elektrycznej ze źródeł odnawialnych.</w:t>
            </w:r>
          </w:p>
        </w:tc>
        <w:tc>
          <w:tcPr>
            <w:tcW w:w="0" w:type="auto"/>
          </w:tcPr>
          <w:p w14:paraId="64186181" w14:textId="77777777" w:rsidR="00956496" w:rsidRPr="00FA7994" w:rsidRDefault="001A3DDB" w:rsidP="00FA7994">
            <w:pPr>
              <w:rPr>
                <w:rFonts w:ascii="Arial" w:hAnsi="Arial" w:cs="Arial"/>
                <w:sz w:val="24"/>
                <w:szCs w:val="24"/>
              </w:rPr>
            </w:pPr>
            <w:r w:rsidRPr="00FA7994">
              <w:rPr>
                <w:rFonts w:ascii="Arial" w:hAnsi="Arial" w:cs="Arial"/>
                <w:sz w:val="24"/>
                <w:szCs w:val="24"/>
              </w:rPr>
              <w:t>MW</w:t>
            </w:r>
          </w:p>
        </w:tc>
        <w:tc>
          <w:tcPr>
            <w:tcW w:w="0" w:type="auto"/>
          </w:tcPr>
          <w:p w14:paraId="16618C60" w14:textId="0B6C37B5" w:rsidR="00956496" w:rsidRPr="00FA7994" w:rsidRDefault="00F3276E" w:rsidP="00FA7994">
            <w:pPr>
              <w:rPr>
                <w:rFonts w:ascii="Arial" w:hAnsi="Arial" w:cs="Arial"/>
                <w:sz w:val="24"/>
                <w:szCs w:val="24"/>
              </w:rPr>
            </w:pPr>
            <w:r>
              <w:rPr>
                <w:rFonts w:ascii="Arial" w:hAnsi="Arial" w:cs="Arial"/>
                <w:sz w:val="24"/>
                <w:szCs w:val="24"/>
              </w:rPr>
              <w:t>p</w:t>
            </w:r>
            <w:r w:rsidR="00956496" w:rsidRPr="00FA7994">
              <w:rPr>
                <w:rFonts w:ascii="Arial" w:hAnsi="Arial" w:cs="Arial"/>
                <w:sz w:val="24"/>
                <w:szCs w:val="24"/>
              </w:rPr>
              <w:t>rodukt</w:t>
            </w:r>
          </w:p>
          <w:p w14:paraId="3752F1AD" w14:textId="77777777" w:rsidR="005F3632" w:rsidRPr="00FA7994" w:rsidRDefault="005F3632" w:rsidP="00FA7994">
            <w:pPr>
              <w:rPr>
                <w:rFonts w:ascii="Arial" w:hAnsi="Arial" w:cs="Arial"/>
                <w:sz w:val="24"/>
                <w:szCs w:val="24"/>
              </w:rPr>
            </w:pPr>
          </w:p>
        </w:tc>
        <w:tc>
          <w:tcPr>
            <w:tcW w:w="0" w:type="auto"/>
          </w:tcPr>
          <w:p w14:paraId="040E5989" w14:textId="2A1B8EFC" w:rsidR="00956496" w:rsidRPr="00FA7994" w:rsidRDefault="001A3DDB" w:rsidP="00FA7994">
            <w:pPr>
              <w:autoSpaceDE w:val="0"/>
              <w:adjustRightInd w:val="0"/>
              <w:rPr>
                <w:rFonts w:ascii="Arial" w:hAnsi="Arial" w:cs="Arial"/>
                <w:i/>
                <w:color w:val="000000"/>
                <w:sz w:val="24"/>
                <w:szCs w:val="24"/>
              </w:rPr>
            </w:pPr>
            <w:r w:rsidRPr="00FA7994">
              <w:rPr>
                <w:rFonts w:ascii="Arial" w:hAnsi="Arial" w:cs="Arial"/>
                <w:i/>
                <w:color w:val="000000"/>
                <w:sz w:val="24"/>
                <w:szCs w:val="24"/>
              </w:rPr>
              <w:t>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późn. zm), energia odnawialna oznacza odnawialne, niekopalne źródła energii obejmujące: energię wiatru, energię promieniowania słonecznego, energię aerotermalną, energię geotermalną, energię hydrotermalną, hydroenergię, energię fal, prądów i pływów morskich, energię otrzymywaną z biomasy, biogazu, biogazu rolniczego oraz z biopłynów.</w:t>
            </w:r>
          </w:p>
        </w:tc>
      </w:tr>
      <w:tr w:rsidR="00956496" w:rsidRPr="00FA7994" w14:paraId="01B70AD9" w14:textId="77777777" w:rsidTr="00AB154E">
        <w:trPr>
          <w:trHeight w:val="668"/>
        </w:trPr>
        <w:tc>
          <w:tcPr>
            <w:tcW w:w="0" w:type="auto"/>
          </w:tcPr>
          <w:p w14:paraId="12A17589" w14:textId="77777777" w:rsidR="00956496" w:rsidRPr="00FA7994" w:rsidRDefault="00956496" w:rsidP="00FA7994">
            <w:pPr>
              <w:rPr>
                <w:rFonts w:ascii="Arial" w:hAnsi="Arial" w:cs="Arial"/>
                <w:sz w:val="24"/>
                <w:szCs w:val="24"/>
              </w:rPr>
            </w:pPr>
            <w:r w:rsidRPr="00FA7994">
              <w:rPr>
                <w:rFonts w:ascii="Arial" w:hAnsi="Arial" w:cs="Arial"/>
                <w:sz w:val="24"/>
                <w:szCs w:val="24"/>
              </w:rPr>
              <w:t>3.</w:t>
            </w:r>
          </w:p>
        </w:tc>
        <w:tc>
          <w:tcPr>
            <w:tcW w:w="0" w:type="auto"/>
          </w:tcPr>
          <w:p w14:paraId="5726CDDA" w14:textId="77777777" w:rsidR="00956496" w:rsidRPr="00FA7994" w:rsidRDefault="00956496" w:rsidP="00FA7994">
            <w:pPr>
              <w:rPr>
                <w:rFonts w:ascii="Arial" w:hAnsi="Arial" w:cs="Arial"/>
                <w:sz w:val="24"/>
                <w:szCs w:val="24"/>
              </w:rPr>
            </w:pPr>
            <w:r w:rsidRPr="00FA7994">
              <w:rPr>
                <w:rFonts w:ascii="Arial" w:hAnsi="Arial" w:cs="Arial"/>
                <w:sz w:val="24"/>
                <w:szCs w:val="24"/>
              </w:rPr>
              <w:t>PLRO027 Dodatkowa zdolność wytwarzania energii cieplnej ze źródeł odnawialnych.</w:t>
            </w:r>
          </w:p>
        </w:tc>
        <w:tc>
          <w:tcPr>
            <w:tcW w:w="0" w:type="auto"/>
          </w:tcPr>
          <w:p w14:paraId="06B4102C" w14:textId="77777777" w:rsidR="00956496" w:rsidRPr="00FA7994" w:rsidRDefault="001A3DDB" w:rsidP="00FA7994">
            <w:pPr>
              <w:rPr>
                <w:rFonts w:ascii="Arial" w:hAnsi="Arial" w:cs="Arial"/>
                <w:sz w:val="24"/>
                <w:szCs w:val="24"/>
              </w:rPr>
            </w:pPr>
            <w:r w:rsidRPr="00FA7994">
              <w:rPr>
                <w:rFonts w:ascii="Arial" w:hAnsi="Arial" w:cs="Arial"/>
                <w:sz w:val="24"/>
                <w:szCs w:val="24"/>
              </w:rPr>
              <w:t>MW</w:t>
            </w:r>
          </w:p>
        </w:tc>
        <w:tc>
          <w:tcPr>
            <w:tcW w:w="0" w:type="auto"/>
          </w:tcPr>
          <w:p w14:paraId="44DD11A5"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6FFAC07A" w14:textId="7E492CB7" w:rsidR="00956496" w:rsidRPr="00FA7994" w:rsidRDefault="0029641F"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późn. zm), energia odnawialna oznacza odnawialne, niekopalne źródła energii obejmujące: energię wiatru, energię </w:t>
            </w:r>
            <w:r w:rsidRPr="00FA7994">
              <w:rPr>
                <w:rFonts w:ascii="Arial" w:hAnsi="Arial" w:cs="Arial"/>
                <w:i/>
                <w:iCs/>
                <w:color w:val="000000"/>
                <w:sz w:val="24"/>
                <w:szCs w:val="24"/>
              </w:rPr>
              <w:lastRenderedPageBreak/>
              <w:t>promieniowania słonecznego, energię aerotermalną, energię geotermalną, energię hydrotermalną, hydroenergię, energię fal, prądów i pływów morskich, energię otrzymywaną z biomasy, biogazu, biogazu rolniczego oraz z biopłynów.</w:t>
            </w:r>
          </w:p>
        </w:tc>
      </w:tr>
      <w:tr w:rsidR="00956496" w:rsidRPr="00FA7994" w14:paraId="3014960E" w14:textId="77777777" w:rsidTr="00AB154E">
        <w:trPr>
          <w:trHeight w:val="668"/>
        </w:trPr>
        <w:tc>
          <w:tcPr>
            <w:tcW w:w="0" w:type="auto"/>
          </w:tcPr>
          <w:p w14:paraId="6627EA7E"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4.</w:t>
            </w:r>
          </w:p>
        </w:tc>
        <w:tc>
          <w:tcPr>
            <w:tcW w:w="0" w:type="auto"/>
          </w:tcPr>
          <w:p w14:paraId="245BBE71" w14:textId="77777777" w:rsidR="00956496" w:rsidRPr="00FA7994" w:rsidRDefault="00956496" w:rsidP="00FA7994">
            <w:pPr>
              <w:rPr>
                <w:rFonts w:ascii="Arial" w:hAnsi="Arial" w:cs="Arial"/>
                <w:sz w:val="24"/>
                <w:szCs w:val="24"/>
              </w:rPr>
            </w:pPr>
            <w:r w:rsidRPr="00FA7994">
              <w:rPr>
                <w:rFonts w:ascii="Arial" w:hAnsi="Arial" w:cs="Arial"/>
                <w:sz w:val="24"/>
                <w:szCs w:val="24"/>
              </w:rPr>
              <w:t>PLRO034 Liczba wybudowanych jednostek wytwarzania energii elektrycznej z OZE.</w:t>
            </w:r>
          </w:p>
        </w:tc>
        <w:tc>
          <w:tcPr>
            <w:tcW w:w="0" w:type="auto"/>
          </w:tcPr>
          <w:p w14:paraId="6EA5B749" w14:textId="77777777" w:rsidR="00956496" w:rsidRPr="00FA7994" w:rsidRDefault="001A3DDB"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66755B3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3F3A0668" w14:textId="5214C192" w:rsidR="00956496" w:rsidRPr="00FA7994" w:rsidRDefault="001A3DDB"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obejmuje wybudowane, w wyniku realizacji projektu, jednostki służące wytwarzaniu energii elektrycznej  ze źródeł odnawialnych.</w:t>
            </w:r>
            <w:r w:rsidR="00E5041A" w:rsidRPr="00FA7994">
              <w:rPr>
                <w:rFonts w:ascii="Arial" w:hAnsi="Arial" w:cs="Arial"/>
                <w:i/>
                <w:iCs/>
                <w:color w:val="000000"/>
                <w:sz w:val="24"/>
                <w:szCs w:val="24"/>
              </w:rPr>
              <w:t xml:space="preserve"> Jednostka wytwarzania energii elektrycznej obejmuj</w:t>
            </w:r>
            <w:r w:rsidR="003B6EFE">
              <w:rPr>
                <w:rFonts w:ascii="Arial" w:hAnsi="Arial" w:cs="Arial"/>
                <w:i/>
                <w:iCs/>
                <w:color w:val="000000"/>
                <w:sz w:val="24"/>
                <w:szCs w:val="24"/>
              </w:rPr>
              <w:t xml:space="preserve">e </w:t>
            </w:r>
            <w:r w:rsidR="00E5041A" w:rsidRPr="00FA7994">
              <w:rPr>
                <w:rFonts w:ascii="Arial" w:hAnsi="Arial" w:cs="Arial"/>
                <w:i/>
                <w:iCs/>
                <w:color w:val="000000"/>
                <w:sz w:val="24"/>
                <w:szCs w:val="24"/>
              </w:rPr>
              <w:t>w przypadku budynków mieszkalnych i budynków użyteczności publicznej: zespół urządzeń służących do wytwarzania energii elektrycznej z OZE</w:t>
            </w:r>
            <w:r w:rsidR="00955449" w:rsidRPr="00FA7994">
              <w:rPr>
                <w:rFonts w:ascii="Arial" w:hAnsi="Arial" w:cs="Arial"/>
                <w:i/>
                <w:iCs/>
                <w:color w:val="000000"/>
                <w:sz w:val="24"/>
                <w:szCs w:val="24"/>
              </w:rPr>
              <w:t>.</w:t>
            </w:r>
          </w:p>
        </w:tc>
      </w:tr>
      <w:tr w:rsidR="00956496" w:rsidRPr="00FA7994" w14:paraId="280D7955" w14:textId="77777777" w:rsidTr="00AB154E">
        <w:trPr>
          <w:trHeight w:val="668"/>
        </w:trPr>
        <w:tc>
          <w:tcPr>
            <w:tcW w:w="0" w:type="auto"/>
          </w:tcPr>
          <w:p w14:paraId="20CD5B7F" w14:textId="77777777" w:rsidR="00956496" w:rsidRPr="00FA7994" w:rsidRDefault="00956496" w:rsidP="00FA7994">
            <w:pPr>
              <w:rPr>
                <w:rFonts w:ascii="Arial" w:hAnsi="Arial" w:cs="Arial"/>
                <w:sz w:val="24"/>
                <w:szCs w:val="24"/>
              </w:rPr>
            </w:pPr>
            <w:r w:rsidRPr="00FA7994">
              <w:rPr>
                <w:rFonts w:ascii="Arial" w:hAnsi="Arial" w:cs="Arial"/>
                <w:sz w:val="24"/>
                <w:szCs w:val="24"/>
              </w:rPr>
              <w:t>5.</w:t>
            </w:r>
          </w:p>
        </w:tc>
        <w:tc>
          <w:tcPr>
            <w:tcW w:w="0" w:type="auto"/>
          </w:tcPr>
          <w:p w14:paraId="013BEAC3" w14:textId="77777777" w:rsidR="00956496" w:rsidRPr="00FA7994" w:rsidRDefault="00956496" w:rsidP="00FA7994">
            <w:pPr>
              <w:rPr>
                <w:rFonts w:ascii="Arial" w:hAnsi="Arial" w:cs="Arial"/>
                <w:sz w:val="24"/>
                <w:szCs w:val="24"/>
              </w:rPr>
            </w:pPr>
            <w:r w:rsidRPr="00FA7994">
              <w:rPr>
                <w:rFonts w:ascii="Arial" w:hAnsi="Arial" w:cs="Arial"/>
                <w:sz w:val="24"/>
                <w:szCs w:val="24"/>
              </w:rPr>
              <w:t>PLRO035 Liczba zmodernizowanych jednostek wytwarzania energii elektrycznej z OZE.</w:t>
            </w:r>
          </w:p>
        </w:tc>
        <w:tc>
          <w:tcPr>
            <w:tcW w:w="0" w:type="auto"/>
          </w:tcPr>
          <w:p w14:paraId="72A9E339" w14:textId="77777777" w:rsidR="00956496" w:rsidRPr="00FA7994" w:rsidRDefault="00955449" w:rsidP="00FA7994">
            <w:pPr>
              <w:rPr>
                <w:rFonts w:ascii="Arial" w:hAnsi="Arial" w:cs="Arial"/>
                <w:sz w:val="24"/>
                <w:szCs w:val="24"/>
              </w:rPr>
            </w:pPr>
            <w:r w:rsidRPr="00FA7994">
              <w:rPr>
                <w:rFonts w:ascii="Arial" w:hAnsi="Arial" w:cs="Arial"/>
                <w:sz w:val="24"/>
                <w:szCs w:val="24"/>
              </w:rPr>
              <w:t>sztuk</w:t>
            </w:r>
            <w:r w:rsidR="002D4B29" w:rsidRPr="00FA7994">
              <w:rPr>
                <w:rFonts w:ascii="Arial" w:hAnsi="Arial" w:cs="Arial"/>
                <w:sz w:val="24"/>
                <w:szCs w:val="24"/>
              </w:rPr>
              <w:t>i</w:t>
            </w:r>
          </w:p>
        </w:tc>
        <w:tc>
          <w:tcPr>
            <w:tcW w:w="0" w:type="auto"/>
          </w:tcPr>
          <w:p w14:paraId="7A7EFE3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74EC4B30" w14:textId="73307717" w:rsidR="00956496" w:rsidRPr="00FA7994" w:rsidRDefault="009554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obejmuje zmodernizowane, w wyniku realizacji projektu, jednostki służące wytwarzaniu energii elektrycznej  ze źródeł odnawialnych. Modernizacja jednostki musi wiązać się ze zwiększeniem mocy istniejącej instalacji.</w:t>
            </w:r>
            <w:r w:rsidR="003B6EFE">
              <w:rPr>
                <w:rFonts w:ascii="Arial" w:hAnsi="Arial" w:cs="Arial"/>
                <w:i/>
                <w:iCs/>
                <w:color w:val="000000"/>
                <w:sz w:val="24"/>
                <w:szCs w:val="24"/>
              </w:rPr>
              <w:t xml:space="preserve"> </w:t>
            </w:r>
            <w:r w:rsidRPr="00FA7994">
              <w:rPr>
                <w:rFonts w:ascii="Arial" w:hAnsi="Arial" w:cs="Arial"/>
                <w:i/>
                <w:iCs/>
                <w:color w:val="000000"/>
                <w:sz w:val="24"/>
                <w:szCs w:val="24"/>
              </w:rPr>
              <w:t>Jednostka wytwarzania energii elektrycznej obejmuj w przypadku budynków mieszkalnych i budynków użyteczności publicznej: zespół urządzeń służących do wytwarzania energii elektrycznej z OZE.</w:t>
            </w:r>
          </w:p>
        </w:tc>
      </w:tr>
      <w:tr w:rsidR="00956496" w:rsidRPr="00FA7994" w14:paraId="31F006FA" w14:textId="77777777" w:rsidTr="00AB154E">
        <w:trPr>
          <w:trHeight w:val="668"/>
        </w:trPr>
        <w:tc>
          <w:tcPr>
            <w:tcW w:w="0" w:type="auto"/>
          </w:tcPr>
          <w:p w14:paraId="27F48653" w14:textId="77777777" w:rsidR="00956496" w:rsidRPr="00FA7994" w:rsidRDefault="00956496" w:rsidP="00FA7994">
            <w:pPr>
              <w:rPr>
                <w:rFonts w:ascii="Arial" w:hAnsi="Arial" w:cs="Arial"/>
                <w:sz w:val="24"/>
                <w:szCs w:val="24"/>
              </w:rPr>
            </w:pPr>
            <w:r w:rsidRPr="00FA7994">
              <w:rPr>
                <w:rFonts w:ascii="Arial" w:hAnsi="Arial" w:cs="Arial"/>
                <w:sz w:val="24"/>
                <w:szCs w:val="24"/>
              </w:rPr>
              <w:t>6.</w:t>
            </w:r>
          </w:p>
        </w:tc>
        <w:tc>
          <w:tcPr>
            <w:tcW w:w="0" w:type="auto"/>
          </w:tcPr>
          <w:p w14:paraId="6AD1ECD3" w14:textId="77777777" w:rsidR="00956496" w:rsidRPr="00FA7994" w:rsidRDefault="00956496" w:rsidP="00FA7994">
            <w:pPr>
              <w:rPr>
                <w:rFonts w:ascii="Arial" w:hAnsi="Arial" w:cs="Arial"/>
                <w:sz w:val="24"/>
                <w:szCs w:val="24"/>
              </w:rPr>
            </w:pPr>
            <w:r w:rsidRPr="00FA7994">
              <w:rPr>
                <w:rFonts w:ascii="Arial" w:hAnsi="Arial" w:cs="Arial"/>
                <w:sz w:val="24"/>
                <w:szCs w:val="24"/>
              </w:rPr>
              <w:t>PLRO036 Liczba wybudowanych jednostek wytwarzania energii cieplnej z OZE.</w:t>
            </w:r>
          </w:p>
        </w:tc>
        <w:tc>
          <w:tcPr>
            <w:tcW w:w="0" w:type="auto"/>
          </w:tcPr>
          <w:p w14:paraId="12775038" w14:textId="77777777" w:rsidR="00956496" w:rsidRPr="00FA7994" w:rsidRDefault="002D4B29" w:rsidP="00FA7994">
            <w:pPr>
              <w:rPr>
                <w:rFonts w:ascii="Arial" w:hAnsi="Arial" w:cs="Arial"/>
                <w:sz w:val="24"/>
                <w:szCs w:val="24"/>
              </w:rPr>
            </w:pPr>
            <w:r w:rsidRPr="00FA7994">
              <w:rPr>
                <w:rFonts w:ascii="Arial" w:hAnsi="Arial" w:cs="Arial"/>
                <w:sz w:val="24"/>
                <w:szCs w:val="24"/>
              </w:rPr>
              <w:t>sztuki</w:t>
            </w:r>
          </w:p>
        </w:tc>
        <w:tc>
          <w:tcPr>
            <w:tcW w:w="0" w:type="auto"/>
          </w:tcPr>
          <w:p w14:paraId="064D27AC"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58F7B538" w14:textId="77777777" w:rsidR="00956496" w:rsidRPr="00FA7994" w:rsidRDefault="002240BB"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obejmuje wybudowane, w wyniku realizacji projektu, jednostki służące wytwarzaniu energii cieplnej  ze źródeł odnawialnych.</w:t>
            </w:r>
            <w:r w:rsidRPr="00FA7994">
              <w:rPr>
                <w:rFonts w:ascii="Arial" w:hAnsi="Arial" w:cs="Arial"/>
                <w:i/>
                <w:iCs/>
                <w:color w:val="000000"/>
                <w:sz w:val="24"/>
                <w:szCs w:val="24"/>
              </w:rPr>
              <w:br/>
            </w:r>
            <w:r w:rsidRPr="00FA7994">
              <w:rPr>
                <w:rFonts w:ascii="Arial" w:hAnsi="Arial" w:cs="Arial"/>
                <w:i/>
                <w:iCs/>
                <w:color w:val="000000"/>
                <w:sz w:val="24"/>
                <w:szCs w:val="24"/>
              </w:rPr>
              <w:lastRenderedPageBreak/>
              <w:t>Jednostka wytwarzania energii cieplnej obejmuje   w przypadku budynków mieszkalnych i budynków użyteczności publicznej: zespół urządzeń służących do wytwarzania energii cieplnej z OZE.</w:t>
            </w:r>
          </w:p>
        </w:tc>
      </w:tr>
      <w:tr w:rsidR="00956496" w:rsidRPr="00FA7994" w14:paraId="137233E7" w14:textId="77777777" w:rsidTr="00AB154E">
        <w:trPr>
          <w:trHeight w:val="668"/>
        </w:trPr>
        <w:tc>
          <w:tcPr>
            <w:tcW w:w="0" w:type="auto"/>
          </w:tcPr>
          <w:p w14:paraId="6048724B"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7.</w:t>
            </w:r>
          </w:p>
        </w:tc>
        <w:tc>
          <w:tcPr>
            <w:tcW w:w="0" w:type="auto"/>
          </w:tcPr>
          <w:p w14:paraId="5655A067" w14:textId="1FC47CD0" w:rsidR="00956496" w:rsidRPr="00FA7994" w:rsidRDefault="00956496" w:rsidP="00FA7994">
            <w:pPr>
              <w:rPr>
                <w:rFonts w:ascii="Arial" w:hAnsi="Arial" w:cs="Arial"/>
                <w:sz w:val="24"/>
                <w:szCs w:val="24"/>
              </w:rPr>
            </w:pPr>
            <w:r w:rsidRPr="00FA7994">
              <w:rPr>
                <w:rFonts w:ascii="Arial" w:hAnsi="Arial" w:cs="Arial"/>
                <w:sz w:val="24"/>
                <w:szCs w:val="24"/>
              </w:rPr>
              <w:t>PLRO037</w:t>
            </w:r>
            <w:r w:rsidR="00270CD5">
              <w:rPr>
                <w:rFonts w:ascii="Arial" w:hAnsi="Arial" w:cs="Arial"/>
                <w:sz w:val="24"/>
                <w:szCs w:val="24"/>
              </w:rPr>
              <w:t xml:space="preserve"> </w:t>
            </w:r>
            <w:r w:rsidRPr="00FA7994">
              <w:rPr>
                <w:rFonts w:ascii="Arial" w:hAnsi="Arial" w:cs="Arial"/>
                <w:sz w:val="24"/>
                <w:szCs w:val="24"/>
              </w:rPr>
              <w:t>Liczba zmodernizowanych jednostek wytwarzania energii cieplnej z OZE.</w:t>
            </w:r>
          </w:p>
        </w:tc>
        <w:tc>
          <w:tcPr>
            <w:tcW w:w="0" w:type="auto"/>
          </w:tcPr>
          <w:p w14:paraId="2DF7849B" w14:textId="77777777" w:rsidR="00956496" w:rsidRPr="00FA7994" w:rsidRDefault="00990A33" w:rsidP="00FA7994">
            <w:pPr>
              <w:rPr>
                <w:rFonts w:ascii="Arial" w:hAnsi="Arial" w:cs="Arial"/>
                <w:sz w:val="24"/>
                <w:szCs w:val="24"/>
              </w:rPr>
            </w:pPr>
            <w:r w:rsidRPr="00FA7994">
              <w:rPr>
                <w:rFonts w:ascii="Arial" w:hAnsi="Arial" w:cs="Arial"/>
                <w:sz w:val="24"/>
                <w:szCs w:val="24"/>
              </w:rPr>
              <w:t>sztuki</w:t>
            </w:r>
          </w:p>
        </w:tc>
        <w:tc>
          <w:tcPr>
            <w:tcW w:w="0" w:type="auto"/>
          </w:tcPr>
          <w:p w14:paraId="0BA70B73"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226EE5CA" w14:textId="77A02C68" w:rsidR="00956496" w:rsidRPr="00FA7994" w:rsidRDefault="00990A33"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Wskaźnik obejmuje zmodernizowane, w wyniku realizacji projektu, jednostki służące wytwarzaniu energii cieplnej ze źródeł odnawialnych. Modernizacja jednostki musi wiązać się ze zwiększeniem mocy istniejącej instalacji. </w:t>
            </w:r>
            <w:r w:rsidR="002240BB" w:rsidRPr="00FA7994">
              <w:rPr>
                <w:rFonts w:ascii="Arial" w:hAnsi="Arial" w:cs="Arial"/>
                <w:i/>
                <w:iCs/>
                <w:color w:val="000000"/>
                <w:sz w:val="24"/>
                <w:szCs w:val="24"/>
              </w:rPr>
              <w:t>Jednostka wytwarzania energii cieplnej obejmuje w przypadku budynków mieszkalnych i budynków użyteczności publicznej: zespół urządzeń służących do wytwarzania energii cieplnej z OZE.</w:t>
            </w:r>
          </w:p>
        </w:tc>
      </w:tr>
      <w:tr w:rsidR="00956496" w:rsidRPr="00FA7994" w14:paraId="5027534C" w14:textId="77777777" w:rsidTr="00AB154E">
        <w:trPr>
          <w:trHeight w:val="668"/>
        </w:trPr>
        <w:tc>
          <w:tcPr>
            <w:tcW w:w="0" w:type="auto"/>
          </w:tcPr>
          <w:p w14:paraId="1F3DDD44" w14:textId="77777777" w:rsidR="00956496" w:rsidRPr="00FA7994" w:rsidRDefault="00956496" w:rsidP="00FA7994">
            <w:pPr>
              <w:rPr>
                <w:rFonts w:ascii="Arial" w:hAnsi="Arial" w:cs="Arial"/>
                <w:sz w:val="24"/>
                <w:szCs w:val="24"/>
              </w:rPr>
            </w:pPr>
            <w:r w:rsidRPr="00FA7994">
              <w:rPr>
                <w:rFonts w:ascii="Arial" w:hAnsi="Arial" w:cs="Arial"/>
                <w:sz w:val="24"/>
                <w:szCs w:val="24"/>
              </w:rPr>
              <w:t>8.</w:t>
            </w:r>
          </w:p>
        </w:tc>
        <w:tc>
          <w:tcPr>
            <w:tcW w:w="0" w:type="auto"/>
          </w:tcPr>
          <w:p w14:paraId="235E43F6" w14:textId="77777777" w:rsidR="00956496" w:rsidRPr="00FA7994" w:rsidRDefault="00956496" w:rsidP="00FA7994">
            <w:pPr>
              <w:rPr>
                <w:rFonts w:ascii="Arial" w:hAnsi="Arial" w:cs="Arial"/>
                <w:sz w:val="24"/>
                <w:szCs w:val="24"/>
              </w:rPr>
            </w:pPr>
            <w:r w:rsidRPr="00FA7994">
              <w:rPr>
                <w:rFonts w:ascii="Arial" w:hAnsi="Arial" w:cs="Arial"/>
                <w:sz w:val="24"/>
                <w:szCs w:val="24"/>
              </w:rPr>
              <w:t>PLRO208 Pojemność magazynów energii elektrycznej.</w:t>
            </w:r>
          </w:p>
        </w:tc>
        <w:tc>
          <w:tcPr>
            <w:tcW w:w="0" w:type="auto"/>
          </w:tcPr>
          <w:p w14:paraId="7261E811" w14:textId="77777777" w:rsidR="00956496" w:rsidRPr="00FA7994" w:rsidRDefault="00990A33" w:rsidP="00FA7994">
            <w:pPr>
              <w:rPr>
                <w:rFonts w:ascii="Arial" w:hAnsi="Arial" w:cs="Arial"/>
                <w:sz w:val="24"/>
                <w:szCs w:val="24"/>
              </w:rPr>
            </w:pPr>
            <w:r w:rsidRPr="00FA7994">
              <w:rPr>
                <w:rFonts w:ascii="Arial" w:hAnsi="Arial" w:cs="Arial"/>
                <w:sz w:val="24"/>
                <w:szCs w:val="24"/>
              </w:rPr>
              <w:t>MWh</w:t>
            </w:r>
          </w:p>
        </w:tc>
        <w:tc>
          <w:tcPr>
            <w:tcW w:w="0" w:type="auto"/>
          </w:tcPr>
          <w:p w14:paraId="3110BAC1"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69D94B36" w14:textId="77777777" w:rsidR="00956496" w:rsidRPr="00FA7994" w:rsidRDefault="00990A33"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Zdolność magazynowania energii elektrycznej stworzona lub zwiększona dzięki udzielonemu wsparciu.</w:t>
            </w:r>
          </w:p>
        </w:tc>
      </w:tr>
      <w:tr w:rsidR="00956496" w:rsidRPr="00FA7994" w14:paraId="3EC92541" w14:textId="77777777" w:rsidTr="00AB154E">
        <w:trPr>
          <w:trHeight w:val="668"/>
        </w:trPr>
        <w:tc>
          <w:tcPr>
            <w:tcW w:w="0" w:type="auto"/>
          </w:tcPr>
          <w:p w14:paraId="0FB36E0B" w14:textId="77777777" w:rsidR="00956496" w:rsidRPr="00FA7994" w:rsidRDefault="00956496" w:rsidP="00FA7994">
            <w:pPr>
              <w:rPr>
                <w:rFonts w:ascii="Arial" w:hAnsi="Arial" w:cs="Arial"/>
                <w:sz w:val="24"/>
                <w:szCs w:val="24"/>
              </w:rPr>
            </w:pPr>
            <w:r w:rsidRPr="00FA7994">
              <w:rPr>
                <w:rFonts w:ascii="Arial" w:hAnsi="Arial" w:cs="Arial"/>
                <w:sz w:val="24"/>
                <w:szCs w:val="24"/>
              </w:rPr>
              <w:t>9.</w:t>
            </w:r>
          </w:p>
        </w:tc>
        <w:tc>
          <w:tcPr>
            <w:tcW w:w="0" w:type="auto"/>
          </w:tcPr>
          <w:p w14:paraId="719150E5" w14:textId="77777777" w:rsidR="00956496" w:rsidRPr="00FA7994" w:rsidRDefault="00956496" w:rsidP="00FA7994">
            <w:pPr>
              <w:rPr>
                <w:rFonts w:ascii="Arial" w:hAnsi="Arial" w:cs="Arial"/>
                <w:sz w:val="24"/>
                <w:szCs w:val="24"/>
              </w:rPr>
            </w:pPr>
            <w:r w:rsidRPr="00FA7994">
              <w:rPr>
                <w:rFonts w:ascii="Arial" w:hAnsi="Arial" w:cs="Arial"/>
                <w:sz w:val="24"/>
                <w:szCs w:val="24"/>
              </w:rPr>
              <w:t>PLRO024 Liczba zmodernizowanych indywidualnych źródeł ciepła.</w:t>
            </w:r>
          </w:p>
        </w:tc>
        <w:tc>
          <w:tcPr>
            <w:tcW w:w="0" w:type="auto"/>
          </w:tcPr>
          <w:p w14:paraId="6ED9442B" w14:textId="77777777" w:rsidR="00956496" w:rsidRPr="00FA7994" w:rsidRDefault="00990A33" w:rsidP="00FA7994">
            <w:pPr>
              <w:rPr>
                <w:rFonts w:ascii="Arial" w:hAnsi="Arial" w:cs="Arial"/>
                <w:sz w:val="24"/>
                <w:szCs w:val="24"/>
              </w:rPr>
            </w:pPr>
            <w:r w:rsidRPr="00FA7994">
              <w:rPr>
                <w:rFonts w:ascii="Arial" w:hAnsi="Arial" w:cs="Arial"/>
                <w:sz w:val="24"/>
                <w:szCs w:val="24"/>
              </w:rPr>
              <w:t>sztuki</w:t>
            </w:r>
          </w:p>
        </w:tc>
        <w:tc>
          <w:tcPr>
            <w:tcW w:w="0" w:type="auto"/>
          </w:tcPr>
          <w:p w14:paraId="201923E1"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7F8224C2" w14:textId="1D52DC46" w:rsidR="00956496" w:rsidRPr="00FA7994" w:rsidRDefault="00990A33"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Liczba zmodernizowanych indywidualnych źródeł ciepła polegająca na wymianie indywidualnego źródła ogrzewania na nowe nisko lub zeroemisyjne lub na podłączeniu do sieci ciepłowniczej. Do wartości wskaźnika należy wliczyć liczbę nowo zainstalowanych  źródeł ciepła.</w:t>
            </w:r>
          </w:p>
        </w:tc>
      </w:tr>
      <w:tr w:rsidR="00956496" w:rsidRPr="00FA7994" w14:paraId="5AC0F7C4" w14:textId="77777777" w:rsidTr="00AB154E">
        <w:trPr>
          <w:trHeight w:val="668"/>
        </w:trPr>
        <w:tc>
          <w:tcPr>
            <w:tcW w:w="0" w:type="auto"/>
          </w:tcPr>
          <w:p w14:paraId="45A71557" w14:textId="77777777" w:rsidR="00956496" w:rsidRPr="00FA7994" w:rsidRDefault="00956496" w:rsidP="00FA7994">
            <w:pPr>
              <w:rPr>
                <w:rFonts w:ascii="Arial" w:hAnsi="Arial" w:cs="Arial"/>
                <w:sz w:val="24"/>
                <w:szCs w:val="24"/>
              </w:rPr>
            </w:pPr>
            <w:r w:rsidRPr="00FA7994">
              <w:rPr>
                <w:rFonts w:ascii="Arial" w:hAnsi="Arial" w:cs="Arial"/>
                <w:sz w:val="24"/>
                <w:szCs w:val="24"/>
              </w:rPr>
              <w:t>10</w:t>
            </w:r>
            <w:r w:rsidR="00B63D2F" w:rsidRPr="00FA7994">
              <w:rPr>
                <w:rFonts w:ascii="Arial" w:hAnsi="Arial" w:cs="Arial"/>
                <w:sz w:val="24"/>
                <w:szCs w:val="24"/>
              </w:rPr>
              <w:t>.</w:t>
            </w:r>
          </w:p>
        </w:tc>
        <w:tc>
          <w:tcPr>
            <w:tcW w:w="0" w:type="auto"/>
          </w:tcPr>
          <w:p w14:paraId="35EA8592" w14:textId="5BF25978" w:rsidR="00956496" w:rsidRPr="00FA7994" w:rsidRDefault="00956496" w:rsidP="00FA7994">
            <w:pPr>
              <w:rPr>
                <w:rFonts w:ascii="Arial" w:hAnsi="Arial" w:cs="Arial"/>
                <w:sz w:val="24"/>
                <w:szCs w:val="24"/>
              </w:rPr>
            </w:pPr>
            <w:r w:rsidRPr="00FA7994">
              <w:rPr>
                <w:rFonts w:ascii="Arial" w:hAnsi="Arial" w:cs="Arial"/>
                <w:sz w:val="24"/>
                <w:szCs w:val="24"/>
              </w:rPr>
              <w:t>PLRO025</w:t>
            </w:r>
            <w:r w:rsidR="00270CD5">
              <w:rPr>
                <w:rFonts w:ascii="Arial" w:hAnsi="Arial" w:cs="Arial"/>
                <w:sz w:val="24"/>
                <w:szCs w:val="24"/>
              </w:rPr>
              <w:t xml:space="preserve"> </w:t>
            </w:r>
            <w:r w:rsidRPr="00FA7994">
              <w:rPr>
                <w:rFonts w:ascii="Arial" w:hAnsi="Arial" w:cs="Arial"/>
                <w:sz w:val="24"/>
                <w:szCs w:val="24"/>
              </w:rPr>
              <w:t>Liczba zmodernizowanych źródeł ciepła (innych niż indywidualne).</w:t>
            </w:r>
          </w:p>
        </w:tc>
        <w:tc>
          <w:tcPr>
            <w:tcW w:w="0" w:type="auto"/>
          </w:tcPr>
          <w:p w14:paraId="0112F926" w14:textId="77777777" w:rsidR="00956496" w:rsidRPr="00FA7994" w:rsidRDefault="00386B49" w:rsidP="00FA7994">
            <w:pPr>
              <w:rPr>
                <w:rFonts w:ascii="Arial" w:hAnsi="Arial" w:cs="Arial"/>
                <w:sz w:val="24"/>
                <w:szCs w:val="24"/>
              </w:rPr>
            </w:pPr>
            <w:r w:rsidRPr="00FA7994">
              <w:rPr>
                <w:rFonts w:ascii="Arial" w:hAnsi="Arial" w:cs="Arial"/>
                <w:sz w:val="24"/>
                <w:szCs w:val="24"/>
              </w:rPr>
              <w:t>sztuki</w:t>
            </w:r>
          </w:p>
        </w:tc>
        <w:tc>
          <w:tcPr>
            <w:tcW w:w="0" w:type="auto"/>
          </w:tcPr>
          <w:p w14:paraId="4FECE8BE"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4EA994DE" w14:textId="34497211" w:rsidR="00956496" w:rsidRPr="00FA7994" w:rsidRDefault="00B4122F"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Liczba  zmodernizowanych lokalnych źródeł ciepła.  Źródło ciepła rozumiane jest jako zespół urządzeń lub instalacji służących do wytwarzania ciepła (spoza systemów ciepłowniczych). Wsparcie dotyczy lokalnych </w:t>
            </w:r>
            <w:r w:rsidRPr="00FA7994">
              <w:rPr>
                <w:rFonts w:ascii="Arial" w:hAnsi="Arial" w:cs="Arial"/>
                <w:i/>
                <w:iCs/>
                <w:color w:val="000000"/>
                <w:sz w:val="24"/>
                <w:szCs w:val="24"/>
              </w:rPr>
              <w:lastRenderedPageBreak/>
              <w:t xml:space="preserve">źródeł ciepła, gdzie  produkcja ciepła jest przeznaczona dla budynku publicznego lub wielorodzinnego mieszkalnego, zespołu budynków (np. kompleksu szpitala) lub też osiedla, bądź danej części miejscowości. Lokalne źródła ciepła stanowią: a) kotłownia lub węzeł cieplny, z których nośnik ciepła jest dostarczany bezpośrednio do instalacji ogrzewania i ciepłej wody w budynku, b) ciepłownia osiedlowa lub grupowy wymiennik ciepła wraz z siecią ciepłowniczą o mocy nominalnej do 11,6 MW, dostarczającej ciepło do budynków. Zakresem wskaźnika nie są objęte  inwestycje dotyczące sieci ciepłowniczych oraz ogrzewania węglowego tj. piece i kotły węglowe.   Zakres wskaźnika nie odnosi się do indywidualnych źródeł ciepła przeznaczonych na potrzeby budynków jednorodzinnych lub </w:t>
            </w:r>
            <w:r w:rsidR="00FA7994" w:rsidRPr="00FA7994">
              <w:rPr>
                <w:rFonts w:ascii="Arial" w:hAnsi="Arial" w:cs="Arial"/>
                <w:i/>
                <w:iCs/>
                <w:color w:val="000000"/>
                <w:sz w:val="24"/>
                <w:szCs w:val="24"/>
              </w:rPr>
              <w:t>indywidualnych</w:t>
            </w:r>
            <w:r w:rsidRPr="00FA7994">
              <w:rPr>
                <w:rFonts w:ascii="Arial" w:hAnsi="Arial" w:cs="Arial"/>
                <w:i/>
                <w:iCs/>
                <w:color w:val="000000"/>
                <w:sz w:val="24"/>
                <w:szCs w:val="24"/>
              </w:rPr>
              <w:t xml:space="preserve"> lokali mieszkalnych.</w:t>
            </w:r>
          </w:p>
        </w:tc>
      </w:tr>
      <w:tr w:rsidR="00956496" w:rsidRPr="00FA7994" w14:paraId="12A7C244" w14:textId="77777777" w:rsidTr="00AB154E">
        <w:trPr>
          <w:trHeight w:val="668"/>
        </w:trPr>
        <w:tc>
          <w:tcPr>
            <w:tcW w:w="0" w:type="auto"/>
          </w:tcPr>
          <w:p w14:paraId="37EE025B" w14:textId="77777777" w:rsidR="00956496" w:rsidRPr="00FA7994" w:rsidRDefault="00956496" w:rsidP="00FA7994">
            <w:pPr>
              <w:rPr>
                <w:rFonts w:ascii="Arial" w:hAnsi="Arial" w:cs="Arial"/>
                <w:sz w:val="24"/>
                <w:szCs w:val="24"/>
              </w:rPr>
            </w:pPr>
            <w:r w:rsidRPr="00FA7994">
              <w:rPr>
                <w:rFonts w:ascii="Arial" w:hAnsi="Arial" w:cs="Arial"/>
                <w:sz w:val="24"/>
                <w:szCs w:val="24"/>
              </w:rPr>
              <w:lastRenderedPageBreak/>
              <w:t>11</w:t>
            </w:r>
          </w:p>
        </w:tc>
        <w:tc>
          <w:tcPr>
            <w:tcW w:w="0" w:type="auto"/>
          </w:tcPr>
          <w:p w14:paraId="40DD22F8" w14:textId="77777777" w:rsidR="00956496" w:rsidRPr="00FA7994" w:rsidRDefault="00956496" w:rsidP="00FA7994">
            <w:pPr>
              <w:rPr>
                <w:rFonts w:ascii="Arial" w:hAnsi="Arial" w:cs="Arial"/>
                <w:sz w:val="24"/>
                <w:szCs w:val="24"/>
              </w:rPr>
            </w:pPr>
            <w:r w:rsidRPr="00FA7994">
              <w:rPr>
                <w:rFonts w:ascii="Arial" w:hAnsi="Arial" w:cs="Arial"/>
                <w:sz w:val="24"/>
                <w:szCs w:val="24"/>
              </w:rPr>
              <w:t>PLRO199 Liczba projektów, w których sfinansowano koszty racjonalnych usprawnień dla osób z niepełnosprawnościami (EFRR/FS/FST).</w:t>
            </w:r>
          </w:p>
        </w:tc>
        <w:tc>
          <w:tcPr>
            <w:tcW w:w="0" w:type="auto"/>
          </w:tcPr>
          <w:p w14:paraId="7E9349A0" w14:textId="77777777" w:rsidR="00956496" w:rsidRPr="00FA7994" w:rsidRDefault="003776F6" w:rsidP="00FA7994">
            <w:pPr>
              <w:rPr>
                <w:rFonts w:ascii="Arial" w:hAnsi="Arial" w:cs="Arial"/>
                <w:sz w:val="24"/>
                <w:szCs w:val="24"/>
              </w:rPr>
            </w:pPr>
            <w:r w:rsidRPr="00FA7994">
              <w:rPr>
                <w:rFonts w:ascii="Arial" w:hAnsi="Arial" w:cs="Arial"/>
                <w:sz w:val="24"/>
                <w:szCs w:val="24"/>
              </w:rPr>
              <w:t>sztuki</w:t>
            </w:r>
          </w:p>
        </w:tc>
        <w:tc>
          <w:tcPr>
            <w:tcW w:w="0" w:type="auto"/>
          </w:tcPr>
          <w:p w14:paraId="737C6E8A" w14:textId="77777777" w:rsidR="00956496" w:rsidRPr="00FA7994" w:rsidRDefault="00956496" w:rsidP="00FA7994">
            <w:pPr>
              <w:rPr>
                <w:rFonts w:ascii="Arial" w:hAnsi="Arial" w:cs="Arial"/>
                <w:sz w:val="24"/>
                <w:szCs w:val="24"/>
              </w:rPr>
            </w:pPr>
            <w:r w:rsidRPr="00FA7994">
              <w:rPr>
                <w:rFonts w:ascii="Arial" w:hAnsi="Arial" w:cs="Arial"/>
                <w:sz w:val="24"/>
                <w:szCs w:val="24"/>
              </w:rPr>
              <w:t>produkt</w:t>
            </w:r>
          </w:p>
        </w:tc>
        <w:tc>
          <w:tcPr>
            <w:tcW w:w="0" w:type="auto"/>
          </w:tcPr>
          <w:p w14:paraId="07A9A83C" w14:textId="77777777" w:rsidR="00956496" w:rsidRPr="00FA7994" w:rsidRDefault="003776F6"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t>
            </w:r>
            <w:r w:rsidRPr="00FA7994">
              <w:rPr>
                <w:rFonts w:ascii="Arial" w:hAnsi="Arial" w:cs="Arial"/>
                <w:i/>
                <w:iCs/>
                <w:color w:val="000000"/>
                <w:sz w:val="24"/>
                <w:szCs w:val="24"/>
              </w:rPr>
              <w:lastRenderedPageBreak/>
              <w:t>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573716" w:rsidRPr="00FA7994" w14:paraId="1C5AE296" w14:textId="77777777" w:rsidTr="00AB154E">
        <w:trPr>
          <w:trHeight w:val="668"/>
        </w:trPr>
        <w:tc>
          <w:tcPr>
            <w:tcW w:w="0" w:type="auto"/>
          </w:tcPr>
          <w:p w14:paraId="422AA1FC" w14:textId="68D736A0" w:rsidR="00573716" w:rsidRPr="00FA7994" w:rsidRDefault="00573716" w:rsidP="00FA7994">
            <w:pPr>
              <w:rPr>
                <w:rFonts w:ascii="Arial" w:hAnsi="Arial" w:cs="Arial"/>
                <w:sz w:val="24"/>
                <w:szCs w:val="24"/>
              </w:rPr>
            </w:pPr>
            <w:r>
              <w:rPr>
                <w:rFonts w:ascii="Arial" w:hAnsi="Arial" w:cs="Arial"/>
                <w:sz w:val="24"/>
                <w:szCs w:val="24"/>
              </w:rPr>
              <w:lastRenderedPageBreak/>
              <w:t>12.</w:t>
            </w:r>
          </w:p>
        </w:tc>
        <w:tc>
          <w:tcPr>
            <w:tcW w:w="0" w:type="auto"/>
          </w:tcPr>
          <w:p w14:paraId="78950720" w14:textId="2B4B7C6D" w:rsidR="00573716" w:rsidRPr="00FA7994" w:rsidRDefault="00573716" w:rsidP="00FA7994">
            <w:pPr>
              <w:rPr>
                <w:rFonts w:ascii="Arial" w:hAnsi="Arial" w:cs="Arial"/>
                <w:sz w:val="24"/>
                <w:szCs w:val="24"/>
              </w:rPr>
            </w:pPr>
            <w:r w:rsidRPr="00573716">
              <w:rPr>
                <w:rFonts w:ascii="Arial" w:hAnsi="Arial" w:cs="Arial"/>
                <w:sz w:val="24"/>
                <w:szCs w:val="24"/>
              </w:rPr>
              <w:t>PLRO237 Liczba powstałych magazynów energii cieplnej</w:t>
            </w:r>
          </w:p>
        </w:tc>
        <w:tc>
          <w:tcPr>
            <w:tcW w:w="0" w:type="auto"/>
          </w:tcPr>
          <w:p w14:paraId="083F5AE1" w14:textId="2C95BC17" w:rsidR="00573716" w:rsidRPr="00FA7994" w:rsidRDefault="00573716" w:rsidP="00FA7994">
            <w:pPr>
              <w:rPr>
                <w:rFonts w:ascii="Arial" w:hAnsi="Arial" w:cs="Arial"/>
                <w:sz w:val="24"/>
                <w:szCs w:val="24"/>
              </w:rPr>
            </w:pPr>
            <w:r w:rsidRPr="00573716">
              <w:rPr>
                <w:rFonts w:ascii="Arial" w:hAnsi="Arial" w:cs="Arial"/>
                <w:sz w:val="24"/>
                <w:szCs w:val="24"/>
              </w:rPr>
              <w:t>szt.</w:t>
            </w:r>
          </w:p>
        </w:tc>
        <w:tc>
          <w:tcPr>
            <w:tcW w:w="0" w:type="auto"/>
          </w:tcPr>
          <w:p w14:paraId="018E0DC8" w14:textId="2AD74B7F" w:rsidR="00573716" w:rsidRPr="00FA7994" w:rsidRDefault="00573716" w:rsidP="00FA7994">
            <w:pPr>
              <w:rPr>
                <w:rFonts w:ascii="Arial" w:hAnsi="Arial" w:cs="Arial"/>
                <w:sz w:val="24"/>
                <w:szCs w:val="24"/>
              </w:rPr>
            </w:pPr>
            <w:r>
              <w:rPr>
                <w:rFonts w:ascii="Arial" w:hAnsi="Arial" w:cs="Arial"/>
                <w:sz w:val="24"/>
                <w:szCs w:val="24"/>
              </w:rPr>
              <w:t>produkt</w:t>
            </w:r>
          </w:p>
        </w:tc>
        <w:tc>
          <w:tcPr>
            <w:tcW w:w="0" w:type="auto"/>
          </w:tcPr>
          <w:p w14:paraId="41B3734B" w14:textId="754AB553" w:rsidR="00573716" w:rsidRPr="00FA7994" w:rsidRDefault="00ED0D6E" w:rsidP="00FA7994">
            <w:pPr>
              <w:autoSpaceDE w:val="0"/>
              <w:adjustRightInd w:val="0"/>
              <w:rPr>
                <w:rFonts w:ascii="Arial" w:hAnsi="Arial" w:cs="Arial"/>
                <w:i/>
                <w:iCs/>
                <w:color w:val="000000"/>
                <w:sz w:val="24"/>
                <w:szCs w:val="24"/>
              </w:rPr>
            </w:pPr>
            <w:r w:rsidRPr="00ED0D6E">
              <w:rPr>
                <w:rFonts w:ascii="Arial" w:hAnsi="Arial" w:cs="Arial"/>
                <w:i/>
                <w:iCs/>
                <w:color w:val="000000"/>
                <w:sz w:val="24"/>
                <w:szCs w:val="24"/>
              </w:rPr>
              <w:t xml:space="preserve">Magazyn energii cieplnej - wyodrębniona instalacja służąca do przechowywania energii cieplnej w dowolnej </w:t>
            </w:r>
            <w:r w:rsidRPr="00ED0D6E">
              <w:rPr>
                <w:rFonts w:ascii="Arial" w:hAnsi="Arial" w:cs="Arial"/>
                <w:i/>
                <w:iCs/>
                <w:color w:val="000000"/>
                <w:sz w:val="24"/>
                <w:szCs w:val="24"/>
              </w:rPr>
              <w:lastRenderedPageBreak/>
              <w:t>postaci, w sposób pozwalający na, co najmniej częściowe jej odzyskanie.</w:t>
            </w:r>
          </w:p>
        </w:tc>
      </w:tr>
      <w:tr w:rsidR="00573716" w:rsidRPr="00FA7994" w14:paraId="2C28FE21" w14:textId="77777777" w:rsidTr="00AB154E">
        <w:trPr>
          <w:trHeight w:val="668"/>
        </w:trPr>
        <w:tc>
          <w:tcPr>
            <w:tcW w:w="0" w:type="auto"/>
          </w:tcPr>
          <w:p w14:paraId="438BE545" w14:textId="6DBE9E4B" w:rsidR="00573716" w:rsidRDefault="00573716" w:rsidP="00FA7994">
            <w:pPr>
              <w:rPr>
                <w:rFonts w:ascii="Arial" w:hAnsi="Arial" w:cs="Arial"/>
                <w:sz w:val="24"/>
                <w:szCs w:val="24"/>
              </w:rPr>
            </w:pPr>
            <w:r>
              <w:rPr>
                <w:rFonts w:ascii="Arial" w:hAnsi="Arial" w:cs="Arial"/>
                <w:sz w:val="24"/>
                <w:szCs w:val="24"/>
              </w:rPr>
              <w:lastRenderedPageBreak/>
              <w:t>13.</w:t>
            </w:r>
          </w:p>
        </w:tc>
        <w:tc>
          <w:tcPr>
            <w:tcW w:w="0" w:type="auto"/>
          </w:tcPr>
          <w:p w14:paraId="68E7547E" w14:textId="2DFE3619" w:rsidR="00573716" w:rsidRPr="00FA7994" w:rsidRDefault="00573716" w:rsidP="00FA7994">
            <w:pPr>
              <w:rPr>
                <w:rFonts w:ascii="Arial" w:hAnsi="Arial" w:cs="Arial"/>
                <w:sz w:val="24"/>
                <w:szCs w:val="24"/>
              </w:rPr>
            </w:pPr>
            <w:r w:rsidRPr="00573716">
              <w:rPr>
                <w:rFonts w:ascii="Arial" w:hAnsi="Arial" w:cs="Arial"/>
                <w:sz w:val="24"/>
                <w:szCs w:val="24"/>
              </w:rPr>
              <w:t>PLRO238 Liczba powstałych magazynów energii elektrycznej</w:t>
            </w:r>
          </w:p>
        </w:tc>
        <w:tc>
          <w:tcPr>
            <w:tcW w:w="0" w:type="auto"/>
          </w:tcPr>
          <w:p w14:paraId="0DA14A1B" w14:textId="2019BDA7" w:rsidR="00573716" w:rsidRPr="00FA7994" w:rsidRDefault="00573716" w:rsidP="00FA7994">
            <w:pPr>
              <w:rPr>
                <w:rFonts w:ascii="Arial" w:hAnsi="Arial" w:cs="Arial"/>
                <w:sz w:val="24"/>
                <w:szCs w:val="24"/>
              </w:rPr>
            </w:pPr>
            <w:r w:rsidRPr="00573716">
              <w:rPr>
                <w:rFonts w:ascii="Arial" w:hAnsi="Arial" w:cs="Arial"/>
                <w:sz w:val="24"/>
                <w:szCs w:val="24"/>
              </w:rPr>
              <w:t>szt.</w:t>
            </w:r>
          </w:p>
        </w:tc>
        <w:tc>
          <w:tcPr>
            <w:tcW w:w="0" w:type="auto"/>
          </w:tcPr>
          <w:p w14:paraId="7FA4A999" w14:textId="3B8A58EA" w:rsidR="00573716" w:rsidRPr="00FA7994" w:rsidRDefault="00573716" w:rsidP="00FA7994">
            <w:pPr>
              <w:rPr>
                <w:rFonts w:ascii="Arial" w:hAnsi="Arial" w:cs="Arial"/>
                <w:sz w:val="24"/>
                <w:szCs w:val="24"/>
              </w:rPr>
            </w:pPr>
            <w:r>
              <w:rPr>
                <w:rFonts w:ascii="Arial" w:hAnsi="Arial" w:cs="Arial"/>
                <w:sz w:val="24"/>
                <w:szCs w:val="24"/>
              </w:rPr>
              <w:t>produkt</w:t>
            </w:r>
          </w:p>
        </w:tc>
        <w:tc>
          <w:tcPr>
            <w:tcW w:w="0" w:type="auto"/>
          </w:tcPr>
          <w:p w14:paraId="6B0B50D5" w14:textId="016EF890" w:rsidR="00573716" w:rsidRPr="00FA7994" w:rsidRDefault="00ED0D6E" w:rsidP="00FA7994">
            <w:pPr>
              <w:autoSpaceDE w:val="0"/>
              <w:adjustRightInd w:val="0"/>
              <w:rPr>
                <w:rFonts w:ascii="Arial" w:hAnsi="Arial" w:cs="Arial"/>
                <w:i/>
                <w:iCs/>
                <w:color w:val="000000"/>
                <w:sz w:val="24"/>
                <w:szCs w:val="24"/>
              </w:rPr>
            </w:pPr>
            <w:r w:rsidRPr="00ED0D6E">
              <w:rPr>
                <w:rFonts w:ascii="Arial" w:hAnsi="Arial" w:cs="Arial"/>
                <w:i/>
                <w:iCs/>
                <w:color w:val="000000"/>
                <w:sz w:val="24"/>
                <w:szCs w:val="24"/>
              </w:rPr>
              <w:t>Magazyn energii elektrycznej- zgodnie z art. 3 pkt 10k) Ustawy z dnia 10 kwietnia 1997 r. Prawo energetyczne – instalacja umożliwiająca magazynowanie energii elektrycznej i wprowadzenie jej do sieci elektroenergetycznej.</w:t>
            </w:r>
          </w:p>
        </w:tc>
      </w:tr>
      <w:tr w:rsidR="008A77EF" w:rsidRPr="00FA7994" w14:paraId="7FD5129D" w14:textId="77777777" w:rsidTr="00AB154E">
        <w:trPr>
          <w:trHeight w:val="668"/>
        </w:trPr>
        <w:tc>
          <w:tcPr>
            <w:tcW w:w="0" w:type="auto"/>
          </w:tcPr>
          <w:p w14:paraId="48D47495" w14:textId="714728C9" w:rsidR="008A77E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4</w:t>
            </w:r>
            <w:r w:rsidRPr="00FA7994">
              <w:rPr>
                <w:rFonts w:ascii="Arial" w:hAnsi="Arial" w:cs="Arial"/>
                <w:sz w:val="24"/>
                <w:szCs w:val="24"/>
              </w:rPr>
              <w:t>.</w:t>
            </w:r>
          </w:p>
        </w:tc>
        <w:tc>
          <w:tcPr>
            <w:tcW w:w="0" w:type="auto"/>
          </w:tcPr>
          <w:p w14:paraId="198955B8" w14:textId="77777777" w:rsidR="008A77EF" w:rsidRPr="00FA7994" w:rsidRDefault="00B63D2F" w:rsidP="00FA7994">
            <w:pPr>
              <w:rPr>
                <w:rFonts w:ascii="Arial" w:hAnsi="Arial" w:cs="Arial"/>
                <w:sz w:val="24"/>
                <w:szCs w:val="24"/>
              </w:rPr>
            </w:pPr>
            <w:r w:rsidRPr="00FA7994">
              <w:rPr>
                <w:rFonts w:ascii="Arial" w:hAnsi="Arial" w:cs="Arial"/>
                <w:sz w:val="24"/>
                <w:szCs w:val="24"/>
              </w:rPr>
              <w:t>RCR029 Szacowana emisja gazów cieplarnianych.</w:t>
            </w:r>
          </w:p>
        </w:tc>
        <w:tc>
          <w:tcPr>
            <w:tcW w:w="0" w:type="auto"/>
          </w:tcPr>
          <w:p w14:paraId="44AA224D" w14:textId="77777777" w:rsidR="008A77EF" w:rsidRPr="00FA7994" w:rsidRDefault="00ED509D" w:rsidP="00FA7994">
            <w:pPr>
              <w:rPr>
                <w:rFonts w:ascii="Arial" w:hAnsi="Arial" w:cs="Arial"/>
                <w:sz w:val="24"/>
                <w:szCs w:val="24"/>
              </w:rPr>
            </w:pPr>
            <w:r w:rsidRPr="00FA7994">
              <w:rPr>
                <w:rFonts w:ascii="Arial" w:hAnsi="Arial" w:cs="Arial"/>
                <w:sz w:val="24"/>
                <w:szCs w:val="24"/>
              </w:rPr>
              <w:t>tony równoważnika CO2/rok</w:t>
            </w:r>
          </w:p>
        </w:tc>
        <w:tc>
          <w:tcPr>
            <w:tcW w:w="0" w:type="auto"/>
          </w:tcPr>
          <w:p w14:paraId="4DF2AF20" w14:textId="77777777" w:rsidR="008A77E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72353F94" w14:textId="3C88E8A0" w:rsidR="008A77EF" w:rsidRPr="00B3717D" w:rsidRDefault="00ED509D" w:rsidP="00FA7994">
            <w:pPr>
              <w:autoSpaceDE w:val="0"/>
              <w:adjustRightInd w:val="0"/>
              <w:rPr>
                <w:rFonts w:ascii="Arial" w:hAnsi="Arial" w:cs="Arial"/>
                <w:color w:val="000000"/>
                <w:sz w:val="24"/>
                <w:szCs w:val="24"/>
              </w:rPr>
            </w:pPr>
            <w:r w:rsidRPr="00FA7994">
              <w:rPr>
                <w:rFonts w:ascii="Arial" w:hAnsi="Arial" w:cs="Arial"/>
                <w:i/>
                <w:iCs/>
                <w:color w:val="000000"/>
                <w:sz w:val="24"/>
                <w:szCs w:val="24"/>
              </w:rPr>
              <w:t xml:space="preserve">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t>
            </w:r>
            <w:r w:rsidR="00FB0C1F" w:rsidRPr="00FB0C1F">
              <w:rPr>
                <w:rFonts w:ascii="Arial" w:hAnsi="Arial" w:cs="Arial"/>
                <w:i/>
                <w:iCs/>
                <w:color w:val="000000"/>
                <w:sz w:val="24"/>
                <w:szCs w:val="24"/>
              </w:rPr>
              <w:t xml:space="preserve">Wartość bazowa dla wskaźnika </w:t>
            </w:r>
            <w:r w:rsidR="00FB0C1F">
              <w:rPr>
                <w:rFonts w:ascii="Arial" w:hAnsi="Arial" w:cs="Arial"/>
                <w:i/>
                <w:iCs/>
                <w:color w:val="000000"/>
                <w:sz w:val="24"/>
                <w:szCs w:val="24"/>
              </w:rPr>
              <w:t xml:space="preserve">jest </w:t>
            </w:r>
            <w:r w:rsidR="005005D6">
              <w:rPr>
                <w:rFonts w:ascii="Arial" w:hAnsi="Arial" w:cs="Arial"/>
                <w:i/>
                <w:iCs/>
                <w:color w:val="000000"/>
                <w:sz w:val="24"/>
                <w:szCs w:val="24"/>
              </w:rPr>
              <w:t>&gt;</w:t>
            </w:r>
            <w:r w:rsidR="00FB0C1F" w:rsidRPr="00FB0C1F">
              <w:rPr>
                <w:rFonts w:ascii="Arial" w:hAnsi="Arial" w:cs="Arial"/>
                <w:i/>
                <w:iCs/>
                <w:color w:val="000000"/>
                <w:sz w:val="24"/>
                <w:szCs w:val="24"/>
              </w:rPr>
              <w:t>„0”.</w:t>
            </w:r>
          </w:p>
        </w:tc>
      </w:tr>
      <w:tr w:rsidR="00B63D2F" w:rsidRPr="00FA7994" w14:paraId="1912CE24" w14:textId="77777777" w:rsidTr="00AB154E">
        <w:trPr>
          <w:trHeight w:val="668"/>
        </w:trPr>
        <w:tc>
          <w:tcPr>
            <w:tcW w:w="0" w:type="auto"/>
          </w:tcPr>
          <w:p w14:paraId="2C3808FF" w14:textId="2DE05426" w:rsidR="00B63D2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5</w:t>
            </w:r>
            <w:r w:rsidRPr="00FA7994">
              <w:rPr>
                <w:rFonts w:ascii="Arial" w:hAnsi="Arial" w:cs="Arial"/>
                <w:sz w:val="24"/>
                <w:szCs w:val="24"/>
              </w:rPr>
              <w:t>.</w:t>
            </w:r>
          </w:p>
        </w:tc>
        <w:tc>
          <w:tcPr>
            <w:tcW w:w="0" w:type="auto"/>
          </w:tcPr>
          <w:p w14:paraId="7CBDF121" w14:textId="77777777" w:rsidR="00B63D2F" w:rsidRPr="00FA7994" w:rsidRDefault="00B63D2F" w:rsidP="00FA7994">
            <w:pPr>
              <w:rPr>
                <w:rFonts w:ascii="Arial" w:hAnsi="Arial" w:cs="Arial"/>
                <w:sz w:val="24"/>
                <w:szCs w:val="24"/>
              </w:rPr>
            </w:pPr>
            <w:r w:rsidRPr="00FA7994">
              <w:rPr>
                <w:rFonts w:ascii="Arial" w:hAnsi="Arial" w:cs="Arial"/>
                <w:sz w:val="24"/>
                <w:szCs w:val="24"/>
              </w:rPr>
              <w:t>PLRR013 Ilość wytworzonej energii elektrycznej ze źródeł OZE.</w:t>
            </w:r>
          </w:p>
        </w:tc>
        <w:tc>
          <w:tcPr>
            <w:tcW w:w="0" w:type="auto"/>
          </w:tcPr>
          <w:p w14:paraId="1DD87EAB" w14:textId="77777777" w:rsidR="00B63D2F" w:rsidRPr="00FA7994" w:rsidRDefault="00936930" w:rsidP="00FA7994">
            <w:pPr>
              <w:rPr>
                <w:rFonts w:ascii="Arial" w:hAnsi="Arial" w:cs="Arial"/>
                <w:sz w:val="24"/>
                <w:szCs w:val="24"/>
              </w:rPr>
            </w:pPr>
            <w:r w:rsidRPr="00FA7994">
              <w:rPr>
                <w:rFonts w:ascii="Arial" w:hAnsi="Arial" w:cs="Arial"/>
                <w:sz w:val="24"/>
                <w:szCs w:val="24"/>
              </w:rPr>
              <w:t>MWh/rok</w:t>
            </w:r>
          </w:p>
        </w:tc>
        <w:tc>
          <w:tcPr>
            <w:tcW w:w="0" w:type="auto"/>
          </w:tcPr>
          <w:p w14:paraId="15802D61"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630C8DBA" w14:textId="43A00F54" w:rsidR="00B63D2F" w:rsidRDefault="00936930"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Wskaźnik mierzy ilość rocznej produkcji energii elektrycznej ze źródeł odnawialnych przed rozpoczęciem projektu i po jego zakończeniu. Wartość bazowa odnosi się do rocznej energii wyprodukowanej w roku poprzedzającym rozpoczęcie projektu i może być większa od zera w przypadkach, gdy zdolność produkcyjna jest zwiększana. Wartość  osiągnięta to wartość energii elektrycznej wyprodukowanej w rok po </w:t>
            </w:r>
            <w:r w:rsidRPr="00FA7994">
              <w:rPr>
                <w:rFonts w:ascii="Arial" w:hAnsi="Arial" w:cs="Arial"/>
                <w:i/>
                <w:iCs/>
                <w:color w:val="000000"/>
                <w:sz w:val="24"/>
                <w:szCs w:val="24"/>
              </w:rPr>
              <w:lastRenderedPageBreak/>
              <w:t>zakończeniu projektu.</w:t>
            </w:r>
            <w:r w:rsidR="005005D6">
              <w:rPr>
                <w:rFonts w:ascii="Arial" w:hAnsi="Arial" w:cs="Arial"/>
                <w:i/>
                <w:iCs/>
                <w:color w:val="000000"/>
                <w:sz w:val="24"/>
                <w:szCs w:val="24"/>
              </w:rPr>
              <w:t xml:space="preserve"> </w:t>
            </w:r>
            <w:r w:rsidR="005005D6" w:rsidRPr="00FB0C1F">
              <w:rPr>
                <w:rFonts w:ascii="Arial" w:hAnsi="Arial" w:cs="Arial"/>
                <w:i/>
                <w:iCs/>
                <w:color w:val="000000"/>
                <w:sz w:val="24"/>
                <w:szCs w:val="24"/>
              </w:rPr>
              <w:t xml:space="preserve">Wartość bazowa dla wskaźnika </w:t>
            </w:r>
            <w:r w:rsidR="005005D6">
              <w:rPr>
                <w:rFonts w:ascii="Arial" w:hAnsi="Arial" w:cs="Arial"/>
                <w:i/>
                <w:iCs/>
                <w:color w:val="000000"/>
                <w:sz w:val="24"/>
                <w:szCs w:val="24"/>
              </w:rPr>
              <w:t>jest &gt;=</w:t>
            </w:r>
            <w:r w:rsidR="005005D6" w:rsidRPr="00FB0C1F">
              <w:rPr>
                <w:rFonts w:ascii="Arial" w:hAnsi="Arial" w:cs="Arial"/>
                <w:i/>
                <w:iCs/>
                <w:color w:val="000000"/>
                <w:sz w:val="24"/>
                <w:szCs w:val="24"/>
              </w:rPr>
              <w:t xml:space="preserve"> „0”.</w:t>
            </w:r>
          </w:p>
          <w:p w14:paraId="7159B21C" w14:textId="1227A5BD" w:rsidR="005005D6" w:rsidRPr="00FA7994" w:rsidRDefault="005005D6" w:rsidP="00FA7994">
            <w:pPr>
              <w:autoSpaceDE w:val="0"/>
              <w:adjustRightInd w:val="0"/>
              <w:rPr>
                <w:rFonts w:ascii="Arial" w:hAnsi="Arial" w:cs="Arial"/>
                <w:i/>
                <w:iCs/>
                <w:color w:val="000000"/>
                <w:sz w:val="24"/>
                <w:szCs w:val="24"/>
              </w:rPr>
            </w:pPr>
          </w:p>
        </w:tc>
      </w:tr>
      <w:tr w:rsidR="00B63D2F" w:rsidRPr="00FA7994" w14:paraId="46AD7C74" w14:textId="77777777" w:rsidTr="00AB154E">
        <w:trPr>
          <w:trHeight w:val="668"/>
        </w:trPr>
        <w:tc>
          <w:tcPr>
            <w:tcW w:w="0" w:type="auto"/>
          </w:tcPr>
          <w:p w14:paraId="017AF933" w14:textId="7D48C589" w:rsidR="00B63D2F" w:rsidRPr="00FA7994" w:rsidRDefault="00B63D2F" w:rsidP="00FA7994">
            <w:pPr>
              <w:rPr>
                <w:rFonts w:ascii="Arial" w:hAnsi="Arial" w:cs="Arial"/>
                <w:sz w:val="24"/>
                <w:szCs w:val="24"/>
              </w:rPr>
            </w:pPr>
            <w:r w:rsidRPr="00FA7994">
              <w:rPr>
                <w:rFonts w:ascii="Arial" w:hAnsi="Arial" w:cs="Arial"/>
                <w:sz w:val="24"/>
                <w:szCs w:val="24"/>
              </w:rPr>
              <w:lastRenderedPageBreak/>
              <w:t>1</w:t>
            </w:r>
            <w:r w:rsidR="00573716">
              <w:rPr>
                <w:rFonts w:ascii="Arial" w:hAnsi="Arial" w:cs="Arial"/>
                <w:sz w:val="24"/>
                <w:szCs w:val="24"/>
              </w:rPr>
              <w:t>6</w:t>
            </w:r>
            <w:r w:rsidRPr="00FA7994">
              <w:rPr>
                <w:rFonts w:ascii="Arial" w:hAnsi="Arial" w:cs="Arial"/>
                <w:sz w:val="24"/>
                <w:szCs w:val="24"/>
              </w:rPr>
              <w:t>.</w:t>
            </w:r>
          </w:p>
        </w:tc>
        <w:tc>
          <w:tcPr>
            <w:tcW w:w="0" w:type="auto"/>
          </w:tcPr>
          <w:p w14:paraId="65B6BCE4" w14:textId="77777777" w:rsidR="00B63D2F" w:rsidRPr="00FA7994" w:rsidRDefault="00B63D2F" w:rsidP="00FA7994">
            <w:pPr>
              <w:rPr>
                <w:rFonts w:ascii="Arial" w:hAnsi="Arial" w:cs="Arial"/>
                <w:sz w:val="24"/>
                <w:szCs w:val="24"/>
              </w:rPr>
            </w:pPr>
            <w:r w:rsidRPr="00FA7994">
              <w:rPr>
                <w:rFonts w:ascii="Arial" w:hAnsi="Arial" w:cs="Arial"/>
                <w:sz w:val="24"/>
                <w:szCs w:val="24"/>
              </w:rPr>
              <w:t>PLRR014 Ilość wytworzonej energii cieplnej ze źródeł OZE.</w:t>
            </w:r>
          </w:p>
        </w:tc>
        <w:tc>
          <w:tcPr>
            <w:tcW w:w="0" w:type="auto"/>
          </w:tcPr>
          <w:p w14:paraId="2E796CD8" w14:textId="77777777" w:rsidR="00B63D2F" w:rsidRPr="00FA7994" w:rsidRDefault="007C0A56" w:rsidP="00FA7994">
            <w:pPr>
              <w:rPr>
                <w:rFonts w:ascii="Arial" w:hAnsi="Arial" w:cs="Arial"/>
                <w:sz w:val="24"/>
                <w:szCs w:val="24"/>
              </w:rPr>
            </w:pPr>
            <w:r w:rsidRPr="00FA7994">
              <w:rPr>
                <w:rFonts w:ascii="Arial" w:hAnsi="Arial" w:cs="Arial"/>
                <w:sz w:val="24"/>
                <w:szCs w:val="24"/>
              </w:rPr>
              <w:t>MWh/rok</w:t>
            </w:r>
          </w:p>
        </w:tc>
        <w:tc>
          <w:tcPr>
            <w:tcW w:w="0" w:type="auto"/>
          </w:tcPr>
          <w:p w14:paraId="03515CA2"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2075DE71" w14:textId="701412A2" w:rsidR="00B63D2F" w:rsidRDefault="007C0A56"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Wskaźnik mierzy ilość rocznej produkcji energii cieplnej ze źródeł odnawialnych przed rozpoczęciem projektu i po jego zakończeniu. Wartość bazowa odnosi się do rocznej energii wyprodukowanej w roku poprzedzającym rozpoczęcie projektu i może być większa od zera w przypadkach, gdy zdolność produkcyjna jest zwiększana. Wartość  osiągnięta to wartość energii cieplnej wyprodukowanej w rok po zakończeniu projektu.</w:t>
            </w:r>
            <w:r w:rsidR="005005D6">
              <w:rPr>
                <w:rFonts w:ascii="Arial" w:hAnsi="Arial" w:cs="Arial"/>
                <w:i/>
                <w:iCs/>
                <w:color w:val="000000"/>
                <w:sz w:val="24"/>
                <w:szCs w:val="24"/>
              </w:rPr>
              <w:t xml:space="preserve"> </w:t>
            </w:r>
            <w:r w:rsidR="005005D6" w:rsidRPr="00FB0C1F">
              <w:rPr>
                <w:rFonts w:ascii="Arial" w:hAnsi="Arial" w:cs="Arial"/>
                <w:i/>
                <w:iCs/>
                <w:color w:val="000000"/>
                <w:sz w:val="24"/>
                <w:szCs w:val="24"/>
              </w:rPr>
              <w:t xml:space="preserve">Wartość bazowa dla wskaźnika </w:t>
            </w:r>
            <w:r w:rsidR="005005D6">
              <w:rPr>
                <w:rFonts w:ascii="Arial" w:hAnsi="Arial" w:cs="Arial"/>
                <w:i/>
                <w:iCs/>
                <w:color w:val="000000"/>
                <w:sz w:val="24"/>
                <w:szCs w:val="24"/>
              </w:rPr>
              <w:t>jest &gt;=</w:t>
            </w:r>
            <w:r w:rsidR="005005D6" w:rsidRPr="00FB0C1F">
              <w:rPr>
                <w:rFonts w:ascii="Arial" w:hAnsi="Arial" w:cs="Arial"/>
                <w:i/>
                <w:iCs/>
                <w:color w:val="000000"/>
                <w:sz w:val="24"/>
                <w:szCs w:val="24"/>
              </w:rPr>
              <w:t xml:space="preserve"> „0”.</w:t>
            </w:r>
          </w:p>
          <w:p w14:paraId="635B753C" w14:textId="5B38788F" w:rsidR="005005D6" w:rsidRPr="00FA7994" w:rsidRDefault="005005D6" w:rsidP="00FA7994">
            <w:pPr>
              <w:autoSpaceDE w:val="0"/>
              <w:adjustRightInd w:val="0"/>
              <w:rPr>
                <w:rFonts w:ascii="Arial" w:hAnsi="Arial" w:cs="Arial"/>
                <w:i/>
                <w:iCs/>
                <w:color w:val="000000"/>
                <w:sz w:val="24"/>
                <w:szCs w:val="24"/>
              </w:rPr>
            </w:pPr>
          </w:p>
        </w:tc>
      </w:tr>
      <w:tr w:rsidR="00B63D2F" w:rsidRPr="00FA7994" w14:paraId="7ED52645" w14:textId="77777777" w:rsidTr="00AB154E">
        <w:trPr>
          <w:trHeight w:val="668"/>
        </w:trPr>
        <w:tc>
          <w:tcPr>
            <w:tcW w:w="0" w:type="auto"/>
          </w:tcPr>
          <w:p w14:paraId="088C5013" w14:textId="04D824CB" w:rsidR="00B63D2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7</w:t>
            </w:r>
            <w:r w:rsidRPr="00FA7994">
              <w:rPr>
                <w:rFonts w:ascii="Arial" w:hAnsi="Arial" w:cs="Arial"/>
                <w:sz w:val="24"/>
                <w:szCs w:val="24"/>
              </w:rPr>
              <w:t>.</w:t>
            </w:r>
          </w:p>
        </w:tc>
        <w:tc>
          <w:tcPr>
            <w:tcW w:w="0" w:type="auto"/>
          </w:tcPr>
          <w:p w14:paraId="09E8ABE4" w14:textId="77777777" w:rsidR="00B63D2F" w:rsidRPr="00FA7994" w:rsidRDefault="00B63D2F" w:rsidP="00FA7994">
            <w:pPr>
              <w:rPr>
                <w:rFonts w:ascii="Arial" w:hAnsi="Arial" w:cs="Arial"/>
                <w:sz w:val="24"/>
                <w:szCs w:val="24"/>
              </w:rPr>
            </w:pPr>
            <w:r w:rsidRPr="00FA7994">
              <w:rPr>
                <w:rFonts w:ascii="Arial" w:hAnsi="Arial" w:cs="Arial"/>
                <w:sz w:val="24"/>
                <w:szCs w:val="24"/>
              </w:rPr>
              <w:t>RCR032 Dodatkowa moc zainstalowana odnawialnych źródeł energii.</w:t>
            </w:r>
          </w:p>
        </w:tc>
        <w:tc>
          <w:tcPr>
            <w:tcW w:w="0" w:type="auto"/>
          </w:tcPr>
          <w:p w14:paraId="3E170C24" w14:textId="77777777" w:rsidR="00B63D2F" w:rsidRPr="00FA7994" w:rsidRDefault="00496149" w:rsidP="00FA7994">
            <w:pPr>
              <w:rPr>
                <w:rFonts w:ascii="Arial" w:hAnsi="Arial" w:cs="Arial"/>
                <w:sz w:val="24"/>
                <w:szCs w:val="24"/>
              </w:rPr>
            </w:pPr>
            <w:r w:rsidRPr="00FA7994">
              <w:rPr>
                <w:rFonts w:ascii="Arial" w:hAnsi="Arial" w:cs="Arial"/>
                <w:sz w:val="24"/>
                <w:szCs w:val="24"/>
              </w:rPr>
              <w:t>MW</w:t>
            </w:r>
          </w:p>
        </w:tc>
        <w:tc>
          <w:tcPr>
            <w:tcW w:w="0" w:type="auto"/>
          </w:tcPr>
          <w:p w14:paraId="15399167"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5C8BEB77" w14:textId="7D2E7814" w:rsidR="00B63D2F"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Dodatkowa moc zainstalowana odnawialnych źródeł energii dzięki udzielonemu wsparciu, którą oddano do eksploatacji (tj. podłączona do sieci (jeśli dotyczy) i w pełni gotowa do wytwarzania energii lub już ją wytwarza). Zdolność wytwarzania rozumiana jest jako „maksymalna moc wytwórcza energii elektrycznej netto”, definiowana przez Eurostat jako „maksymalna moc czynna, która może być dostarczana stale przez ciągle działający zakład w punkcie wyjścia (tj. po pobraniu energii dla potrzeb urządzeń pomocniczych stacji oraz uwzględniając straty w transformatorach uznawanych za </w:t>
            </w:r>
            <w:r w:rsidRPr="00FA7994">
              <w:rPr>
                <w:rFonts w:ascii="Arial" w:hAnsi="Arial" w:cs="Arial"/>
                <w:i/>
                <w:iCs/>
                <w:color w:val="000000"/>
                <w:sz w:val="24"/>
                <w:szCs w:val="24"/>
              </w:rPr>
              <w:lastRenderedPageBreak/>
              <w:t>integralne ze stacją)”.</w:t>
            </w:r>
            <w:r w:rsidR="005005D6">
              <w:t xml:space="preserve"> </w:t>
            </w:r>
            <w:r w:rsidR="005005D6" w:rsidRPr="005005D6">
              <w:rPr>
                <w:rFonts w:ascii="Arial" w:hAnsi="Arial" w:cs="Arial"/>
                <w:i/>
                <w:iCs/>
                <w:color w:val="000000"/>
                <w:sz w:val="24"/>
                <w:szCs w:val="24"/>
              </w:rPr>
              <w:t>Wartość bazowa dla wskaźnika jest = „0 ”.</w:t>
            </w:r>
            <w:r w:rsidR="005005D6">
              <w:rPr>
                <w:rFonts w:ascii="Arial" w:hAnsi="Arial" w:cs="Arial"/>
                <w:i/>
                <w:iCs/>
                <w:color w:val="000000"/>
                <w:sz w:val="24"/>
                <w:szCs w:val="24"/>
              </w:rPr>
              <w:t xml:space="preserve"> </w:t>
            </w:r>
          </w:p>
        </w:tc>
      </w:tr>
      <w:tr w:rsidR="00B63D2F" w:rsidRPr="00FA7994" w14:paraId="68EF53F3" w14:textId="77777777" w:rsidTr="00AB154E">
        <w:trPr>
          <w:trHeight w:val="668"/>
        </w:trPr>
        <w:tc>
          <w:tcPr>
            <w:tcW w:w="0" w:type="auto"/>
          </w:tcPr>
          <w:p w14:paraId="522A1070" w14:textId="1E28D1CB" w:rsidR="00B63D2F" w:rsidRPr="00FA7994" w:rsidRDefault="00B63D2F" w:rsidP="00FA7994">
            <w:pPr>
              <w:rPr>
                <w:rFonts w:ascii="Arial" w:hAnsi="Arial" w:cs="Arial"/>
                <w:sz w:val="24"/>
                <w:szCs w:val="24"/>
              </w:rPr>
            </w:pPr>
            <w:r w:rsidRPr="00FA7994">
              <w:rPr>
                <w:rFonts w:ascii="Arial" w:hAnsi="Arial" w:cs="Arial"/>
                <w:sz w:val="24"/>
                <w:szCs w:val="24"/>
              </w:rPr>
              <w:lastRenderedPageBreak/>
              <w:t>1</w:t>
            </w:r>
            <w:r w:rsidR="00573716">
              <w:rPr>
                <w:rFonts w:ascii="Arial" w:hAnsi="Arial" w:cs="Arial"/>
                <w:sz w:val="24"/>
                <w:szCs w:val="24"/>
              </w:rPr>
              <w:t>8</w:t>
            </w:r>
            <w:r w:rsidRPr="00FA7994">
              <w:rPr>
                <w:rFonts w:ascii="Arial" w:hAnsi="Arial" w:cs="Arial"/>
                <w:sz w:val="24"/>
                <w:szCs w:val="24"/>
              </w:rPr>
              <w:t>.</w:t>
            </w:r>
          </w:p>
        </w:tc>
        <w:tc>
          <w:tcPr>
            <w:tcW w:w="0" w:type="auto"/>
          </w:tcPr>
          <w:p w14:paraId="32C57DC4" w14:textId="77777777" w:rsidR="00B63D2F" w:rsidRPr="00FA7994" w:rsidRDefault="00B63D2F" w:rsidP="00FA7994">
            <w:pPr>
              <w:rPr>
                <w:rFonts w:ascii="Arial" w:hAnsi="Arial" w:cs="Arial"/>
                <w:sz w:val="24"/>
                <w:szCs w:val="24"/>
              </w:rPr>
            </w:pPr>
            <w:r w:rsidRPr="00FA7994">
              <w:rPr>
                <w:rFonts w:ascii="Arial" w:hAnsi="Arial" w:cs="Arial"/>
                <w:sz w:val="24"/>
                <w:szCs w:val="24"/>
              </w:rPr>
              <w:t>PLRR011 Ilość zaoszczędzonej energii elektrycznej.</w:t>
            </w:r>
          </w:p>
        </w:tc>
        <w:tc>
          <w:tcPr>
            <w:tcW w:w="0" w:type="auto"/>
          </w:tcPr>
          <w:p w14:paraId="5D76A351" w14:textId="77777777" w:rsidR="00B63D2F" w:rsidRPr="00FA7994" w:rsidRDefault="00496149" w:rsidP="00FA7994">
            <w:pPr>
              <w:rPr>
                <w:rFonts w:ascii="Arial" w:hAnsi="Arial" w:cs="Arial"/>
                <w:sz w:val="24"/>
                <w:szCs w:val="24"/>
              </w:rPr>
            </w:pPr>
            <w:r w:rsidRPr="00FA7994">
              <w:rPr>
                <w:rFonts w:ascii="Arial" w:hAnsi="Arial" w:cs="Arial"/>
                <w:sz w:val="24"/>
                <w:szCs w:val="24"/>
              </w:rPr>
              <w:t>MWh/rok</w:t>
            </w:r>
          </w:p>
        </w:tc>
        <w:tc>
          <w:tcPr>
            <w:tcW w:w="0" w:type="auto"/>
          </w:tcPr>
          <w:p w14:paraId="2B642F79"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3D7DEEA7" w14:textId="75E2A1D0" w:rsidR="00496149"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Ilość zaoszczędzonej w wyniku realizacji projektu energii elektrycznej w ciągu pełnego roku po zakończeniu projektu w stosunku do roku </w:t>
            </w:r>
            <w:r w:rsidR="004D2754" w:rsidRPr="00FA7994">
              <w:rPr>
                <w:rFonts w:ascii="Arial" w:hAnsi="Arial" w:cs="Arial"/>
                <w:i/>
                <w:iCs/>
                <w:color w:val="000000"/>
                <w:sz w:val="24"/>
                <w:szCs w:val="24"/>
              </w:rPr>
              <w:t>bazowego. Wskaźnik</w:t>
            </w:r>
            <w:r w:rsidRPr="00FA7994">
              <w:rPr>
                <w:rFonts w:ascii="Arial" w:hAnsi="Arial" w:cs="Arial"/>
                <w:i/>
                <w:iCs/>
                <w:color w:val="000000"/>
                <w:sz w:val="24"/>
                <w:szCs w:val="24"/>
              </w:rPr>
              <w:t xml:space="preserve"> odnosi się do energii </w:t>
            </w:r>
            <w:r w:rsidR="004D2754" w:rsidRPr="00FA7994">
              <w:rPr>
                <w:rFonts w:ascii="Arial" w:hAnsi="Arial" w:cs="Arial"/>
                <w:i/>
                <w:iCs/>
                <w:color w:val="000000"/>
                <w:sz w:val="24"/>
                <w:szCs w:val="24"/>
              </w:rPr>
              <w:t>końcowej. W</w:t>
            </w:r>
            <w:r w:rsidR="008D58DD">
              <w:rPr>
                <w:rFonts w:ascii="Arial" w:hAnsi="Arial" w:cs="Arial"/>
                <w:i/>
                <w:iCs/>
                <w:color w:val="000000"/>
                <w:sz w:val="24"/>
                <w:szCs w:val="24"/>
              </w:rPr>
              <w:t xml:space="preserve"> </w:t>
            </w:r>
            <w:r w:rsidRPr="00FA7994">
              <w:rPr>
                <w:rFonts w:ascii="Arial" w:hAnsi="Arial" w:cs="Arial"/>
                <w:i/>
                <w:iCs/>
                <w:color w:val="000000"/>
                <w:sz w:val="24"/>
                <w:szCs w:val="24"/>
              </w:rPr>
              <w:t>przypadku modernizacji</w:t>
            </w:r>
            <w:r w:rsidR="008D58DD">
              <w:rPr>
                <w:rFonts w:ascii="Arial" w:hAnsi="Arial" w:cs="Arial"/>
                <w:i/>
                <w:iCs/>
                <w:color w:val="000000"/>
                <w:sz w:val="24"/>
                <w:szCs w:val="24"/>
              </w:rPr>
              <w:t xml:space="preserve"> </w:t>
            </w:r>
            <w:r w:rsidRPr="00FA7994">
              <w:rPr>
                <w:rFonts w:ascii="Arial" w:hAnsi="Arial" w:cs="Arial"/>
                <w:i/>
                <w:iCs/>
                <w:color w:val="000000"/>
                <w:sz w:val="24"/>
                <w:szCs w:val="24"/>
              </w:rPr>
              <w:t>energetycznej budynków: różnica między rocznym zużyciem energii elektrycznej w roku bazowym w stosunku do rocznego zużycia energii elektrycznej po zakończeniu projektu.</w:t>
            </w:r>
            <w:r w:rsidR="005D6AE3">
              <w:rPr>
                <w:rFonts w:ascii="Arial" w:hAnsi="Arial" w:cs="Arial"/>
                <w:i/>
                <w:iCs/>
                <w:color w:val="000000"/>
                <w:sz w:val="24"/>
                <w:szCs w:val="24"/>
              </w:rPr>
              <w:t xml:space="preserve"> </w:t>
            </w:r>
            <w:r w:rsidR="005D6AE3" w:rsidRPr="00FB0C1F">
              <w:rPr>
                <w:rFonts w:ascii="Arial" w:hAnsi="Arial" w:cs="Arial"/>
                <w:i/>
                <w:iCs/>
                <w:color w:val="000000"/>
                <w:sz w:val="24"/>
                <w:szCs w:val="24"/>
              </w:rPr>
              <w:t xml:space="preserve">Wartość bazowa dla wskaźnika </w:t>
            </w:r>
            <w:r w:rsidR="005D6AE3">
              <w:rPr>
                <w:rFonts w:ascii="Arial" w:hAnsi="Arial" w:cs="Arial"/>
                <w:i/>
                <w:iCs/>
                <w:color w:val="000000"/>
                <w:sz w:val="24"/>
                <w:szCs w:val="24"/>
              </w:rPr>
              <w:t>jest &gt;</w:t>
            </w:r>
            <w:r w:rsidR="005D6AE3" w:rsidRPr="00FB0C1F">
              <w:rPr>
                <w:rFonts w:ascii="Arial" w:hAnsi="Arial" w:cs="Arial"/>
                <w:i/>
                <w:iCs/>
                <w:color w:val="000000"/>
                <w:sz w:val="24"/>
                <w:szCs w:val="24"/>
              </w:rPr>
              <w:t>„0”.</w:t>
            </w:r>
          </w:p>
          <w:p w14:paraId="23395144" w14:textId="77777777" w:rsidR="00B63D2F" w:rsidRPr="00FA7994" w:rsidRDefault="00496149"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r w:rsidR="00B63D2F" w:rsidRPr="00FA7994" w14:paraId="1DE30656" w14:textId="77777777" w:rsidTr="00AB154E">
        <w:trPr>
          <w:trHeight w:val="668"/>
        </w:trPr>
        <w:tc>
          <w:tcPr>
            <w:tcW w:w="0" w:type="auto"/>
          </w:tcPr>
          <w:p w14:paraId="40747E99" w14:textId="21E61F08" w:rsidR="00B63D2F" w:rsidRPr="00FA7994" w:rsidRDefault="00B63D2F" w:rsidP="00FA7994">
            <w:pPr>
              <w:rPr>
                <w:rFonts w:ascii="Arial" w:hAnsi="Arial" w:cs="Arial"/>
                <w:sz w:val="24"/>
                <w:szCs w:val="24"/>
              </w:rPr>
            </w:pPr>
            <w:r w:rsidRPr="00FA7994">
              <w:rPr>
                <w:rFonts w:ascii="Arial" w:hAnsi="Arial" w:cs="Arial"/>
                <w:sz w:val="24"/>
                <w:szCs w:val="24"/>
              </w:rPr>
              <w:t>1</w:t>
            </w:r>
            <w:r w:rsidR="00573716">
              <w:rPr>
                <w:rFonts w:ascii="Arial" w:hAnsi="Arial" w:cs="Arial"/>
                <w:sz w:val="24"/>
                <w:szCs w:val="24"/>
              </w:rPr>
              <w:t>9</w:t>
            </w:r>
            <w:r w:rsidRPr="00FA7994">
              <w:rPr>
                <w:rFonts w:ascii="Arial" w:hAnsi="Arial" w:cs="Arial"/>
                <w:sz w:val="24"/>
                <w:szCs w:val="24"/>
              </w:rPr>
              <w:t>.</w:t>
            </w:r>
          </w:p>
        </w:tc>
        <w:tc>
          <w:tcPr>
            <w:tcW w:w="0" w:type="auto"/>
          </w:tcPr>
          <w:p w14:paraId="50298DF2" w14:textId="77777777" w:rsidR="00B63D2F" w:rsidRPr="00FA7994" w:rsidRDefault="00B63D2F" w:rsidP="00FA7994">
            <w:pPr>
              <w:rPr>
                <w:rFonts w:ascii="Arial" w:hAnsi="Arial" w:cs="Arial"/>
                <w:sz w:val="24"/>
                <w:szCs w:val="24"/>
              </w:rPr>
            </w:pPr>
            <w:r w:rsidRPr="00FA7994">
              <w:rPr>
                <w:rFonts w:ascii="Arial" w:hAnsi="Arial" w:cs="Arial"/>
                <w:sz w:val="24"/>
                <w:szCs w:val="24"/>
              </w:rPr>
              <w:t>PLRR012 Ilość zaoszczędzonej energii cieplnej.</w:t>
            </w:r>
          </w:p>
        </w:tc>
        <w:tc>
          <w:tcPr>
            <w:tcW w:w="0" w:type="auto"/>
          </w:tcPr>
          <w:p w14:paraId="65375900" w14:textId="77777777" w:rsidR="00B63D2F" w:rsidRPr="00FA7994" w:rsidRDefault="004D2754" w:rsidP="00FA7994">
            <w:pPr>
              <w:rPr>
                <w:rFonts w:ascii="Arial" w:hAnsi="Arial" w:cs="Arial"/>
                <w:sz w:val="24"/>
                <w:szCs w:val="24"/>
              </w:rPr>
            </w:pPr>
            <w:r w:rsidRPr="00FA7994">
              <w:rPr>
                <w:rFonts w:ascii="Arial" w:hAnsi="Arial" w:cs="Arial"/>
                <w:sz w:val="24"/>
                <w:szCs w:val="24"/>
              </w:rPr>
              <w:t>MWh/rok</w:t>
            </w:r>
          </w:p>
        </w:tc>
        <w:tc>
          <w:tcPr>
            <w:tcW w:w="0" w:type="auto"/>
          </w:tcPr>
          <w:p w14:paraId="175E37E8" w14:textId="77777777" w:rsidR="00B63D2F" w:rsidRPr="00FA7994" w:rsidRDefault="00B63D2F" w:rsidP="00FA7994">
            <w:pPr>
              <w:rPr>
                <w:rFonts w:ascii="Arial" w:hAnsi="Arial" w:cs="Arial"/>
                <w:sz w:val="24"/>
                <w:szCs w:val="24"/>
              </w:rPr>
            </w:pPr>
            <w:r w:rsidRPr="00FA7994">
              <w:rPr>
                <w:rFonts w:ascii="Arial" w:hAnsi="Arial" w:cs="Arial"/>
                <w:sz w:val="24"/>
                <w:szCs w:val="24"/>
              </w:rPr>
              <w:t xml:space="preserve">rezultat </w:t>
            </w:r>
          </w:p>
        </w:tc>
        <w:tc>
          <w:tcPr>
            <w:tcW w:w="0" w:type="auto"/>
          </w:tcPr>
          <w:p w14:paraId="14939022" w14:textId="4B3C2324" w:rsidR="004D2754" w:rsidRPr="00FA7994" w:rsidRDefault="004D2754"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 xml:space="preserve">Ilość zaoszczędzonej w wyniku realizacji projektu energii cieplnej w ciągu pełnego roku po zakończeniu projektu.   Wskaźnik odnosi się do energii końcowej. W przypadku modernizacji energetycznej budynków: różnica między rocznym zużyciem energii cieplnej  </w:t>
            </w:r>
            <w:r w:rsidRPr="00FA7994">
              <w:rPr>
                <w:rFonts w:ascii="Arial" w:hAnsi="Arial" w:cs="Arial"/>
                <w:i/>
                <w:iCs/>
                <w:color w:val="000000"/>
                <w:sz w:val="24"/>
                <w:szCs w:val="24"/>
              </w:rPr>
              <w:lastRenderedPageBreak/>
              <w:t>w roku bazowym w stosunku do rocznego zużycia energii cieplnej po zakończeniu projektu.</w:t>
            </w:r>
            <w:r w:rsidR="005D6AE3">
              <w:rPr>
                <w:rFonts w:ascii="Arial" w:hAnsi="Arial" w:cs="Arial"/>
                <w:i/>
                <w:iCs/>
                <w:color w:val="000000"/>
                <w:sz w:val="24"/>
                <w:szCs w:val="24"/>
              </w:rPr>
              <w:t xml:space="preserve"> </w:t>
            </w:r>
            <w:r w:rsidR="005D6AE3" w:rsidRPr="00FB0C1F">
              <w:rPr>
                <w:rFonts w:ascii="Arial" w:hAnsi="Arial" w:cs="Arial"/>
                <w:i/>
                <w:iCs/>
                <w:color w:val="000000"/>
                <w:sz w:val="24"/>
                <w:szCs w:val="24"/>
              </w:rPr>
              <w:t xml:space="preserve">Wartość bazowa dla wskaźnika </w:t>
            </w:r>
            <w:r w:rsidR="005D6AE3">
              <w:rPr>
                <w:rFonts w:ascii="Arial" w:hAnsi="Arial" w:cs="Arial"/>
                <w:i/>
                <w:iCs/>
                <w:color w:val="000000"/>
                <w:sz w:val="24"/>
                <w:szCs w:val="24"/>
              </w:rPr>
              <w:t>jest &gt;</w:t>
            </w:r>
            <w:r w:rsidR="005D6AE3" w:rsidRPr="00FB0C1F">
              <w:rPr>
                <w:rFonts w:ascii="Arial" w:hAnsi="Arial" w:cs="Arial"/>
                <w:i/>
                <w:iCs/>
                <w:color w:val="000000"/>
                <w:sz w:val="24"/>
                <w:szCs w:val="24"/>
              </w:rPr>
              <w:t>„0”.</w:t>
            </w:r>
          </w:p>
          <w:p w14:paraId="7C0D1B73" w14:textId="77777777" w:rsidR="00B63D2F" w:rsidRPr="00FA7994" w:rsidRDefault="004D2754" w:rsidP="00FA7994">
            <w:pPr>
              <w:autoSpaceDE w:val="0"/>
              <w:adjustRightInd w:val="0"/>
              <w:rPr>
                <w:rFonts w:ascii="Arial" w:hAnsi="Arial" w:cs="Arial"/>
                <w:i/>
                <w:iCs/>
                <w:color w:val="000000"/>
                <w:sz w:val="24"/>
                <w:szCs w:val="24"/>
              </w:rPr>
            </w:pPr>
            <w:r w:rsidRPr="00FA7994">
              <w:rPr>
                <w:rFonts w:ascii="Arial" w:hAnsi="Arial" w:cs="Arial"/>
                <w:i/>
                <w:iCs/>
                <w:color w:val="000000"/>
                <w:sz w:val="24"/>
                <w:szCs w:val="24"/>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p>
        </w:tc>
      </w:tr>
    </w:tbl>
    <w:p w14:paraId="2976D8F3" w14:textId="77777777" w:rsidR="00FA2CD5" w:rsidRPr="00FA7994" w:rsidRDefault="00FA2CD5" w:rsidP="00FA7994">
      <w:pPr>
        <w:rPr>
          <w:rFonts w:ascii="Arial" w:hAnsi="Arial" w:cs="Arial"/>
          <w:sz w:val="24"/>
          <w:szCs w:val="24"/>
        </w:rPr>
      </w:pPr>
    </w:p>
    <w:p w14:paraId="4F6DB599" w14:textId="77777777" w:rsidR="00260367" w:rsidRPr="00FA7994" w:rsidRDefault="002C553C" w:rsidP="00FA7994">
      <w:pPr>
        <w:rPr>
          <w:rFonts w:ascii="Arial" w:hAnsi="Arial" w:cs="Arial"/>
          <w:sz w:val="24"/>
          <w:szCs w:val="24"/>
        </w:rPr>
      </w:pPr>
      <w:r w:rsidRPr="00FA7994">
        <w:rPr>
          <w:rFonts w:ascii="Arial" w:hAnsi="Arial" w:cs="Arial"/>
          <w:sz w:val="24"/>
          <w:szCs w:val="24"/>
        </w:rPr>
        <w:t xml:space="preserve">Fundusz powierniczy (BGK) we wniosku o dofinansowanie dla Działania 4.7 Zwiększenie wykorzystania Odnawialnych Źródeł Energii Programu Fundusze Europejskie dla Lubelskiego </w:t>
      </w:r>
      <w:r w:rsidRPr="00FA7994">
        <w:rPr>
          <w:rFonts w:ascii="Arial" w:hAnsi="Arial" w:cs="Arial"/>
          <w:sz w:val="24"/>
          <w:szCs w:val="24"/>
        </w:rPr>
        <w:br/>
        <w:t>2021-2027 powinien określić wartości wskaźników produktu i rezultatu zgodnie z zapisami programu Fundusze Europejskie dla Lubelskiego 2021-2027 oraz Szczegółowego Opisu Priorytetów (SZOP) programu Fundusze Europejskie dla Lubelskiego 2021-2027</w:t>
      </w:r>
      <w:r w:rsidR="00260367" w:rsidRPr="00FA7994">
        <w:rPr>
          <w:rFonts w:ascii="Arial" w:hAnsi="Arial" w:cs="Arial"/>
          <w:sz w:val="24"/>
          <w:szCs w:val="24"/>
        </w:rPr>
        <w:t>.</w:t>
      </w:r>
    </w:p>
    <w:p w14:paraId="3EDC87D2" w14:textId="77777777" w:rsidR="00FA2CD5" w:rsidRPr="00FA7994" w:rsidRDefault="00260367" w:rsidP="00FA7994">
      <w:pPr>
        <w:rPr>
          <w:rFonts w:ascii="Arial" w:hAnsi="Arial" w:cs="Arial"/>
          <w:sz w:val="24"/>
          <w:szCs w:val="24"/>
        </w:rPr>
      </w:pPr>
      <w:r w:rsidRPr="00FA7994">
        <w:rPr>
          <w:rFonts w:ascii="Arial" w:hAnsi="Arial" w:cs="Arial"/>
          <w:sz w:val="24"/>
          <w:szCs w:val="24"/>
        </w:rPr>
        <w:t>M</w:t>
      </w:r>
      <w:r w:rsidR="002C553C" w:rsidRPr="00FA7994">
        <w:rPr>
          <w:rFonts w:ascii="Arial" w:hAnsi="Arial" w:cs="Arial"/>
          <w:sz w:val="24"/>
          <w:szCs w:val="24"/>
        </w:rPr>
        <w:t xml:space="preserve">ając na uwadze, że </w:t>
      </w:r>
      <w:r w:rsidRPr="00FA7994">
        <w:rPr>
          <w:rFonts w:ascii="Arial" w:hAnsi="Arial" w:cs="Arial"/>
          <w:sz w:val="24"/>
          <w:szCs w:val="24"/>
        </w:rPr>
        <w:t xml:space="preserve">Beneficjent (BGK) </w:t>
      </w:r>
      <w:r w:rsidR="002C553C" w:rsidRPr="00FA7994">
        <w:rPr>
          <w:rFonts w:ascii="Arial" w:hAnsi="Arial" w:cs="Arial"/>
          <w:sz w:val="24"/>
          <w:szCs w:val="24"/>
        </w:rPr>
        <w:t>wdrażając poszczególne fundusze szczegółowe zobligowany jest do osiągnięcia wymaganych w programie</w:t>
      </w:r>
      <w:r w:rsidRPr="00FA7994">
        <w:rPr>
          <w:rFonts w:ascii="Arial" w:hAnsi="Arial" w:cs="Arial"/>
          <w:sz w:val="24"/>
          <w:szCs w:val="24"/>
        </w:rPr>
        <w:t xml:space="preserve"> (sekcja 2.1.4.2.2 Wskaźniki)określonych wartości docelowych i pośrednich dla wskaźników produktu oraz wartości docelowych wskaźników rezultatu </w:t>
      </w:r>
      <w:r w:rsidR="002C553C" w:rsidRPr="00FA7994">
        <w:rPr>
          <w:rFonts w:ascii="Arial" w:hAnsi="Arial" w:cs="Arial"/>
          <w:sz w:val="24"/>
          <w:szCs w:val="24"/>
        </w:rPr>
        <w:t xml:space="preserve"> dla Celu szczegółowego 2(ii) wspieranie energii odnawialnej zgodnie z dyrektywą 2018/2001, w tym określonymi w niej kryteriami zrównoważonego rozwoju</w:t>
      </w:r>
      <w:r w:rsidRPr="00FA7994">
        <w:rPr>
          <w:rFonts w:ascii="Arial" w:hAnsi="Arial" w:cs="Arial"/>
          <w:sz w:val="24"/>
          <w:szCs w:val="24"/>
        </w:rPr>
        <w:t xml:space="preserve"> w gestii Funduszu Powierniczego jest odpowiedni podział wskaźników zadeklarowanych w programie pomiędzy fundusze szczegółowe, które będą wdrażane w ramach CS 2(ii).</w:t>
      </w:r>
    </w:p>
    <w:p w14:paraId="2D5369F1" w14:textId="77777777" w:rsidR="00B13974" w:rsidRPr="00FA7994" w:rsidRDefault="00B13974" w:rsidP="00FA7994">
      <w:pPr>
        <w:rPr>
          <w:rFonts w:ascii="Arial" w:hAnsi="Arial" w:cs="Arial"/>
          <w:sz w:val="24"/>
          <w:szCs w:val="24"/>
        </w:rPr>
      </w:pPr>
    </w:p>
    <w:sectPr w:rsidR="00B13974" w:rsidRPr="00FA7994" w:rsidSect="009518B4">
      <w:footerReference w:type="default" r:id="rId8"/>
      <w:footerReference w:type="first" r:id="rId9"/>
      <w:pgSz w:w="16838" w:h="11906" w:orient="landscape"/>
      <w:pgMar w:top="1417" w:right="113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C54EB" w14:textId="77777777" w:rsidR="001207ED" w:rsidRDefault="001207ED" w:rsidP="008A2035">
      <w:pPr>
        <w:spacing w:after="0" w:line="240" w:lineRule="auto"/>
      </w:pPr>
      <w:r>
        <w:separator/>
      </w:r>
    </w:p>
  </w:endnote>
  <w:endnote w:type="continuationSeparator" w:id="0">
    <w:p w14:paraId="5DAD9B6A" w14:textId="77777777" w:rsidR="001207ED" w:rsidRDefault="001207ED" w:rsidP="008A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39D51" w14:textId="77777777" w:rsidR="007A2F6C" w:rsidRDefault="007A2F6C">
    <w:pPr>
      <w:pStyle w:val="Stopka"/>
      <w:jc w:val="right"/>
    </w:pPr>
    <w:r>
      <w:t xml:space="preserve">Strona </w:t>
    </w:r>
    <w:r w:rsidR="00C153C3">
      <w:rPr>
        <w:b/>
        <w:sz w:val="24"/>
        <w:szCs w:val="24"/>
      </w:rPr>
      <w:fldChar w:fldCharType="begin"/>
    </w:r>
    <w:r>
      <w:rPr>
        <w:b/>
      </w:rPr>
      <w:instrText>PAGE</w:instrText>
    </w:r>
    <w:r w:rsidR="00C153C3">
      <w:rPr>
        <w:b/>
        <w:sz w:val="24"/>
        <w:szCs w:val="24"/>
      </w:rPr>
      <w:fldChar w:fldCharType="separate"/>
    </w:r>
    <w:r w:rsidR="004C468E">
      <w:rPr>
        <w:b/>
        <w:noProof/>
      </w:rPr>
      <w:t>5</w:t>
    </w:r>
    <w:r w:rsidR="00C153C3">
      <w:rPr>
        <w:b/>
        <w:sz w:val="24"/>
        <w:szCs w:val="24"/>
      </w:rPr>
      <w:fldChar w:fldCharType="end"/>
    </w:r>
    <w:r>
      <w:t xml:space="preserve"> z </w:t>
    </w:r>
    <w:r w:rsidR="00C153C3">
      <w:rPr>
        <w:b/>
        <w:sz w:val="24"/>
        <w:szCs w:val="24"/>
      </w:rPr>
      <w:fldChar w:fldCharType="begin"/>
    </w:r>
    <w:r>
      <w:rPr>
        <w:b/>
      </w:rPr>
      <w:instrText>NUMPAGES</w:instrText>
    </w:r>
    <w:r w:rsidR="00C153C3">
      <w:rPr>
        <w:b/>
        <w:sz w:val="24"/>
        <w:szCs w:val="24"/>
      </w:rPr>
      <w:fldChar w:fldCharType="separate"/>
    </w:r>
    <w:r w:rsidR="004C468E">
      <w:rPr>
        <w:b/>
        <w:noProof/>
      </w:rPr>
      <w:t>5</w:t>
    </w:r>
    <w:r w:rsidR="00C153C3">
      <w:rPr>
        <w:b/>
        <w:sz w:val="24"/>
        <w:szCs w:val="24"/>
      </w:rPr>
      <w:fldChar w:fldCharType="end"/>
    </w:r>
  </w:p>
  <w:p w14:paraId="3B071CD2" w14:textId="77777777" w:rsidR="007A2F6C" w:rsidRDefault="009518B4" w:rsidP="009518B4">
    <w:pPr>
      <w:pStyle w:val="Stopka"/>
      <w:jc w:val="center"/>
    </w:pPr>
    <w:r w:rsidRPr="009518B4">
      <w:rPr>
        <w:noProof/>
        <w:lang w:eastAsia="pl-PL"/>
      </w:rPr>
      <w:drawing>
        <wp:inline distT="0" distB="0" distL="0" distR="0" wp14:anchorId="4D53D361" wp14:editId="62544083">
          <wp:extent cx="5761990" cy="612201"/>
          <wp:effectExtent l="19050" t="0" r="0" b="0"/>
          <wp:docPr id="1" name="Picture 1" descr="Znak Fundusze Europejskie dla Lube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1990" cy="612201"/>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F2D5C" w14:textId="77777777" w:rsidR="007A2F6C" w:rsidRDefault="007A2F6C">
    <w:pPr>
      <w:pStyle w:val="Stopka"/>
      <w:jc w:val="right"/>
    </w:pPr>
    <w:r>
      <w:t xml:space="preserve">Strona </w:t>
    </w:r>
    <w:r w:rsidR="00C153C3">
      <w:rPr>
        <w:b/>
        <w:sz w:val="24"/>
        <w:szCs w:val="24"/>
      </w:rPr>
      <w:fldChar w:fldCharType="begin"/>
    </w:r>
    <w:r>
      <w:rPr>
        <w:b/>
      </w:rPr>
      <w:instrText>PAGE</w:instrText>
    </w:r>
    <w:r w:rsidR="00C153C3">
      <w:rPr>
        <w:b/>
        <w:sz w:val="24"/>
        <w:szCs w:val="24"/>
      </w:rPr>
      <w:fldChar w:fldCharType="separate"/>
    </w:r>
    <w:r w:rsidR="004C468E">
      <w:rPr>
        <w:b/>
        <w:noProof/>
      </w:rPr>
      <w:t>1</w:t>
    </w:r>
    <w:r w:rsidR="00C153C3">
      <w:rPr>
        <w:b/>
        <w:sz w:val="24"/>
        <w:szCs w:val="24"/>
      </w:rPr>
      <w:fldChar w:fldCharType="end"/>
    </w:r>
    <w:r>
      <w:t xml:space="preserve"> z </w:t>
    </w:r>
    <w:r w:rsidR="00C153C3">
      <w:rPr>
        <w:b/>
        <w:sz w:val="24"/>
        <w:szCs w:val="24"/>
      </w:rPr>
      <w:fldChar w:fldCharType="begin"/>
    </w:r>
    <w:r>
      <w:rPr>
        <w:b/>
      </w:rPr>
      <w:instrText>NUMPAGES</w:instrText>
    </w:r>
    <w:r w:rsidR="00C153C3">
      <w:rPr>
        <w:b/>
        <w:sz w:val="24"/>
        <w:szCs w:val="24"/>
      </w:rPr>
      <w:fldChar w:fldCharType="separate"/>
    </w:r>
    <w:r w:rsidR="004C468E">
      <w:rPr>
        <w:b/>
        <w:noProof/>
      </w:rPr>
      <w:t>5</w:t>
    </w:r>
    <w:r w:rsidR="00C153C3">
      <w:rPr>
        <w:b/>
        <w:sz w:val="24"/>
        <w:szCs w:val="24"/>
      </w:rPr>
      <w:fldChar w:fldCharType="end"/>
    </w:r>
  </w:p>
  <w:p w14:paraId="34FBC7F6" w14:textId="77777777" w:rsidR="007A2F6C" w:rsidRDefault="007A2F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0DA4B" w14:textId="77777777" w:rsidR="001207ED" w:rsidRDefault="001207ED" w:rsidP="008A2035">
      <w:pPr>
        <w:spacing w:after="0" w:line="240" w:lineRule="auto"/>
      </w:pPr>
      <w:r>
        <w:separator/>
      </w:r>
    </w:p>
  </w:footnote>
  <w:footnote w:type="continuationSeparator" w:id="0">
    <w:p w14:paraId="4484E3E7" w14:textId="77777777" w:rsidR="001207ED" w:rsidRDefault="001207ED" w:rsidP="008A20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2F5643"/>
    <w:multiLevelType w:val="hybridMultilevel"/>
    <w:tmpl w:val="3E861A9E"/>
    <w:lvl w:ilvl="0" w:tplc="279CCF96">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130091290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W EFRR">
    <w15:presenceInfo w15:providerId="None" w15:userId="DW EFR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70C"/>
    <w:rsid w:val="000236D5"/>
    <w:rsid w:val="000411B0"/>
    <w:rsid w:val="00062EA7"/>
    <w:rsid w:val="00094D1F"/>
    <w:rsid w:val="000A4E2E"/>
    <w:rsid w:val="000B197E"/>
    <w:rsid w:val="000C6271"/>
    <w:rsid w:val="000D4C9B"/>
    <w:rsid w:val="000E1C7F"/>
    <w:rsid w:val="000E3F6E"/>
    <w:rsid w:val="00112F70"/>
    <w:rsid w:val="00120524"/>
    <w:rsid w:val="001207ED"/>
    <w:rsid w:val="00145BD1"/>
    <w:rsid w:val="001534AF"/>
    <w:rsid w:val="001605D8"/>
    <w:rsid w:val="00183FB5"/>
    <w:rsid w:val="00186619"/>
    <w:rsid w:val="001A1C35"/>
    <w:rsid w:val="001A3DDB"/>
    <w:rsid w:val="001B7FE3"/>
    <w:rsid w:val="001C5394"/>
    <w:rsid w:val="001E323E"/>
    <w:rsid w:val="001E5640"/>
    <w:rsid w:val="00200937"/>
    <w:rsid w:val="00200F57"/>
    <w:rsid w:val="0020158C"/>
    <w:rsid w:val="00201E47"/>
    <w:rsid w:val="002125D3"/>
    <w:rsid w:val="00216CE9"/>
    <w:rsid w:val="002240BB"/>
    <w:rsid w:val="00241F26"/>
    <w:rsid w:val="00244B57"/>
    <w:rsid w:val="00247ACA"/>
    <w:rsid w:val="00260367"/>
    <w:rsid w:val="00270CD5"/>
    <w:rsid w:val="002731D6"/>
    <w:rsid w:val="002741FD"/>
    <w:rsid w:val="002904F2"/>
    <w:rsid w:val="0029641F"/>
    <w:rsid w:val="00297792"/>
    <w:rsid w:val="002B2F4C"/>
    <w:rsid w:val="002C41B5"/>
    <w:rsid w:val="002C553C"/>
    <w:rsid w:val="002D4B29"/>
    <w:rsid w:val="002E5D26"/>
    <w:rsid w:val="00301D09"/>
    <w:rsid w:val="00314928"/>
    <w:rsid w:val="003152C7"/>
    <w:rsid w:val="003273DA"/>
    <w:rsid w:val="00374F10"/>
    <w:rsid w:val="003776F6"/>
    <w:rsid w:val="00386B49"/>
    <w:rsid w:val="003969F7"/>
    <w:rsid w:val="003B06F0"/>
    <w:rsid w:val="003B4CC9"/>
    <w:rsid w:val="003B6EFE"/>
    <w:rsid w:val="003D3D9A"/>
    <w:rsid w:val="00401C4F"/>
    <w:rsid w:val="00401DE6"/>
    <w:rsid w:val="004047AB"/>
    <w:rsid w:val="0043386C"/>
    <w:rsid w:val="00452A2B"/>
    <w:rsid w:val="00465206"/>
    <w:rsid w:val="00487901"/>
    <w:rsid w:val="00494537"/>
    <w:rsid w:val="0049489B"/>
    <w:rsid w:val="00496149"/>
    <w:rsid w:val="004C2560"/>
    <w:rsid w:val="004C468E"/>
    <w:rsid w:val="004D1B12"/>
    <w:rsid w:val="004D2754"/>
    <w:rsid w:val="004E57F3"/>
    <w:rsid w:val="005005D6"/>
    <w:rsid w:val="0051443C"/>
    <w:rsid w:val="00514D55"/>
    <w:rsid w:val="00534168"/>
    <w:rsid w:val="00550BF2"/>
    <w:rsid w:val="00573716"/>
    <w:rsid w:val="0058468E"/>
    <w:rsid w:val="005942B2"/>
    <w:rsid w:val="005D36AA"/>
    <w:rsid w:val="005D6AE3"/>
    <w:rsid w:val="005F3632"/>
    <w:rsid w:val="00617134"/>
    <w:rsid w:val="00622E0F"/>
    <w:rsid w:val="00662E50"/>
    <w:rsid w:val="00696413"/>
    <w:rsid w:val="006E3336"/>
    <w:rsid w:val="006E7F54"/>
    <w:rsid w:val="00700FA3"/>
    <w:rsid w:val="00713975"/>
    <w:rsid w:val="007331A9"/>
    <w:rsid w:val="00734F26"/>
    <w:rsid w:val="0074380D"/>
    <w:rsid w:val="00774399"/>
    <w:rsid w:val="00783DA9"/>
    <w:rsid w:val="007A2F6C"/>
    <w:rsid w:val="007B1781"/>
    <w:rsid w:val="007C0A56"/>
    <w:rsid w:val="007D47D3"/>
    <w:rsid w:val="00835EBF"/>
    <w:rsid w:val="008646EA"/>
    <w:rsid w:val="0089241F"/>
    <w:rsid w:val="00895E93"/>
    <w:rsid w:val="008A2035"/>
    <w:rsid w:val="008A77EF"/>
    <w:rsid w:val="008D58DD"/>
    <w:rsid w:val="008E10C0"/>
    <w:rsid w:val="0093257B"/>
    <w:rsid w:val="00936930"/>
    <w:rsid w:val="009518B4"/>
    <w:rsid w:val="00955449"/>
    <w:rsid w:val="00956496"/>
    <w:rsid w:val="00957164"/>
    <w:rsid w:val="009633B5"/>
    <w:rsid w:val="00983805"/>
    <w:rsid w:val="009844D4"/>
    <w:rsid w:val="00990A33"/>
    <w:rsid w:val="009A40C1"/>
    <w:rsid w:val="009A71E1"/>
    <w:rsid w:val="009B5BC2"/>
    <w:rsid w:val="009C1D9D"/>
    <w:rsid w:val="009D1BA4"/>
    <w:rsid w:val="00A53F48"/>
    <w:rsid w:val="00A73FAD"/>
    <w:rsid w:val="00AB154E"/>
    <w:rsid w:val="00AB58C5"/>
    <w:rsid w:val="00AD4026"/>
    <w:rsid w:val="00AD5520"/>
    <w:rsid w:val="00AE2598"/>
    <w:rsid w:val="00AE2860"/>
    <w:rsid w:val="00B07436"/>
    <w:rsid w:val="00B13974"/>
    <w:rsid w:val="00B17B3C"/>
    <w:rsid w:val="00B361FE"/>
    <w:rsid w:val="00B3717D"/>
    <w:rsid w:val="00B40FD8"/>
    <w:rsid w:val="00B4122F"/>
    <w:rsid w:val="00B4682A"/>
    <w:rsid w:val="00B50C70"/>
    <w:rsid w:val="00B51A0F"/>
    <w:rsid w:val="00B63D2F"/>
    <w:rsid w:val="00B70B8A"/>
    <w:rsid w:val="00B8645B"/>
    <w:rsid w:val="00BB571F"/>
    <w:rsid w:val="00BC7B89"/>
    <w:rsid w:val="00BE3D7C"/>
    <w:rsid w:val="00C153C3"/>
    <w:rsid w:val="00C37209"/>
    <w:rsid w:val="00C42979"/>
    <w:rsid w:val="00C42DA7"/>
    <w:rsid w:val="00C43F37"/>
    <w:rsid w:val="00C65B39"/>
    <w:rsid w:val="00C9655F"/>
    <w:rsid w:val="00CB6706"/>
    <w:rsid w:val="00CC2C07"/>
    <w:rsid w:val="00CF2B93"/>
    <w:rsid w:val="00D032DD"/>
    <w:rsid w:val="00D56CAF"/>
    <w:rsid w:val="00D62CD0"/>
    <w:rsid w:val="00D75DEE"/>
    <w:rsid w:val="00DA1109"/>
    <w:rsid w:val="00DA7486"/>
    <w:rsid w:val="00DE1D00"/>
    <w:rsid w:val="00E2159C"/>
    <w:rsid w:val="00E31098"/>
    <w:rsid w:val="00E351F3"/>
    <w:rsid w:val="00E5041A"/>
    <w:rsid w:val="00E77FB2"/>
    <w:rsid w:val="00E87EE8"/>
    <w:rsid w:val="00EB5526"/>
    <w:rsid w:val="00EC120A"/>
    <w:rsid w:val="00EC46D0"/>
    <w:rsid w:val="00ED0D6E"/>
    <w:rsid w:val="00ED3BDD"/>
    <w:rsid w:val="00ED509D"/>
    <w:rsid w:val="00EF4AF3"/>
    <w:rsid w:val="00F10FFE"/>
    <w:rsid w:val="00F3276E"/>
    <w:rsid w:val="00F470A3"/>
    <w:rsid w:val="00F85CDA"/>
    <w:rsid w:val="00F97C62"/>
    <w:rsid w:val="00FA210A"/>
    <w:rsid w:val="00FA2855"/>
    <w:rsid w:val="00FA2CD5"/>
    <w:rsid w:val="00FA7994"/>
    <w:rsid w:val="00FB0C1F"/>
    <w:rsid w:val="00FB270C"/>
    <w:rsid w:val="00FB6BDA"/>
    <w:rsid w:val="00FC011F"/>
    <w:rsid w:val="00FC408A"/>
    <w:rsid w:val="00FE550F"/>
    <w:rsid w:val="00FF771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A02EFA"/>
  <w15:docId w15:val="{90073406-60AB-4FD1-BF84-C562552E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7C6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FB270C"/>
    <w:rPr>
      <w:sz w:val="16"/>
      <w:szCs w:val="16"/>
    </w:rPr>
  </w:style>
  <w:style w:type="paragraph" w:styleId="Tekstkomentarza">
    <w:name w:val="annotation text"/>
    <w:basedOn w:val="Normalny"/>
    <w:link w:val="TekstkomentarzaZnak"/>
    <w:uiPriority w:val="99"/>
    <w:unhideWhenUsed/>
    <w:rsid w:val="00FB270C"/>
    <w:pPr>
      <w:suppressAutoHyphens/>
      <w:autoSpaceDN w:val="0"/>
      <w:spacing w:line="240" w:lineRule="auto"/>
      <w:textAlignment w:val="baseline"/>
    </w:pPr>
    <w:rPr>
      <w:sz w:val="20"/>
      <w:szCs w:val="20"/>
    </w:rPr>
  </w:style>
  <w:style w:type="character" w:customStyle="1" w:styleId="TekstkomentarzaZnak">
    <w:name w:val="Tekst komentarza Znak"/>
    <w:link w:val="Tekstkomentarza"/>
    <w:uiPriority w:val="99"/>
    <w:rsid w:val="00FB270C"/>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FB270C"/>
    <w:pPr>
      <w:spacing w:after="0" w:line="240" w:lineRule="auto"/>
    </w:pPr>
    <w:rPr>
      <w:rFonts w:ascii="Tahoma" w:hAnsi="Tahoma"/>
      <w:sz w:val="16"/>
      <w:szCs w:val="16"/>
    </w:rPr>
  </w:style>
  <w:style w:type="character" w:customStyle="1" w:styleId="TekstdymkaZnak">
    <w:name w:val="Tekst dymka Znak"/>
    <w:link w:val="Tekstdymka"/>
    <w:uiPriority w:val="99"/>
    <w:semiHidden/>
    <w:rsid w:val="00FB270C"/>
    <w:rPr>
      <w:rFonts w:ascii="Tahoma" w:hAnsi="Tahoma" w:cs="Tahoma"/>
      <w:sz w:val="16"/>
      <w:szCs w:val="16"/>
    </w:rPr>
  </w:style>
  <w:style w:type="paragraph" w:styleId="Nagwek">
    <w:name w:val="header"/>
    <w:basedOn w:val="Normalny"/>
    <w:link w:val="NagwekZnak"/>
    <w:uiPriority w:val="99"/>
    <w:unhideWhenUsed/>
    <w:rsid w:val="008A20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A2035"/>
  </w:style>
  <w:style w:type="paragraph" w:styleId="Stopka">
    <w:name w:val="footer"/>
    <w:basedOn w:val="Normalny"/>
    <w:link w:val="StopkaZnak"/>
    <w:uiPriority w:val="99"/>
    <w:unhideWhenUsed/>
    <w:rsid w:val="008A20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2035"/>
  </w:style>
  <w:style w:type="paragraph" w:styleId="Tekstprzypisudolnego">
    <w:name w:val="footnote text"/>
    <w:basedOn w:val="Normalny"/>
    <w:link w:val="TekstprzypisudolnegoZnak"/>
    <w:uiPriority w:val="99"/>
    <w:semiHidden/>
    <w:unhideWhenUsed/>
    <w:rsid w:val="000A4E2E"/>
    <w:pPr>
      <w:spacing w:after="0" w:line="240" w:lineRule="auto"/>
    </w:pPr>
    <w:rPr>
      <w:sz w:val="20"/>
      <w:szCs w:val="20"/>
    </w:rPr>
  </w:style>
  <w:style w:type="character" w:customStyle="1" w:styleId="TekstprzypisudolnegoZnak">
    <w:name w:val="Tekst przypisu dolnego Znak"/>
    <w:link w:val="Tekstprzypisudolnego"/>
    <w:uiPriority w:val="99"/>
    <w:semiHidden/>
    <w:rsid w:val="000A4E2E"/>
    <w:rPr>
      <w:sz w:val="20"/>
      <w:szCs w:val="20"/>
    </w:rPr>
  </w:style>
  <w:style w:type="character" w:styleId="Odwoanieprzypisudolnego">
    <w:name w:val="footnote reference"/>
    <w:uiPriority w:val="99"/>
    <w:semiHidden/>
    <w:unhideWhenUsed/>
    <w:rsid w:val="000A4E2E"/>
    <w:rPr>
      <w:vertAlign w:val="superscript"/>
    </w:rPr>
  </w:style>
  <w:style w:type="character" w:styleId="Hipercze">
    <w:name w:val="Hyperlink"/>
    <w:uiPriority w:val="99"/>
    <w:unhideWhenUsed/>
    <w:rsid w:val="00895E93"/>
    <w:rPr>
      <w:color w:val="0000FF"/>
      <w:u w:val="single"/>
    </w:rPr>
  </w:style>
  <w:style w:type="paragraph" w:styleId="Tematkomentarza">
    <w:name w:val="annotation subject"/>
    <w:basedOn w:val="Tekstkomentarza"/>
    <w:next w:val="Tekstkomentarza"/>
    <w:link w:val="TematkomentarzaZnak"/>
    <w:uiPriority w:val="99"/>
    <w:semiHidden/>
    <w:unhideWhenUsed/>
    <w:rsid w:val="002904F2"/>
    <w:pPr>
      <w:suppressAutoHyphens w:val="0"/>
      <w:autoSpaceDN/>
      <w:spacing w:line="276" w:lineRule="auto"/>
      <w:textAlignment w:val="auto"/>
    </w:pPr>
    <w:rPr>
      <w:b/>
      <w:bCs/>
    </w:rPr>
  </w:style>
  <w:style w:type="character" w:customStyle="1" w:styleId="TematkomentarzaZnak">
    <w:name w:val="Temat komentarza Znak"/>
    <w:link w:val="Tematkomentarza"/>
    <w:uiPriority w:val="99"/>
    <w:semiHidden/>
    <w:rsid w:val="002904F2"/>
    <w:rPr>
      <w:rFonts w:ascii="Calibri" w:eastAsia="Calibri" w:hAnsi="Calibri" w:cs="Times New Roman"/>
      <w:b/>
      <w:bCs/>
      <w:sz w:val="20"/>
      <w:szCs w:val="20"/>
      <w:lang w:eastAsia="en-US"/>
    </w:rPr>
  </w:style>
  <w:style w:type="paragraph" w:customStyle="1" w:styleId="Style26">
    <w:name w:val="Style26"/>
    <w:basedOn w:val="Normalny"/>
    <w:uiPriority w:val="99"/>
    <w:rsid w:val="001C5394"/>
    <w:pPr>
      <w:widowControl w:val="0"/>
      <w:autoSpaceDE w:val="0"/>
      <w:autoSpaceDN w:val="0"/>
      <w:adjustRightInd w:val="0"/>
      <w:spacing w:after="0" w:line="302" w:lineRule="exact"/>
      <w:jc w:val="both"/>
    </w:pPr>
    <w:rPr>
      <w:rFonts w:ascii="Times New Roman" w:eastAsia="Times New Roman" w:hAnsi="Times New Roman"/>
      <w:sz w:val="24"/>
      <w:szCs w:val="24"/>
      <w:lang w:eastAsia="pl-PL"/>
    </w:rPr>
  </w:style>
  <w:style w:type="paragraph" w:styleId="Poprawka">
    <w:name w:val="Revision"/>
    <w:hidden/>
    <w:uiPriority w:val="99"/>
    <w:semiHidden/>
    <w:rsid w:val="00270CD5"/>
    <w:rPr>
      <w:sz w:val="22"/>
      <w:szCs w:val="22"/>
      <w:lang w:eastAsia="en-US"/>
    </w:rPr>
  </w:style>
  <w:style w:type="table" w:styleId="Siatkatabelijasna">
    <w:name w:val="Grid Table Light"/>
    <w:basedOn w:val="Standardowy"/>
    <w:uiPriority w:val="40"/>
    <w:rsid w:val="00AB154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23782">
      <w:bodyDiv w:val="1"/>
      <w:marLeft w:val="0"/>
      <w:marRight w:val="0"/>
      <w:marTop w:val="0"/>
      <w:marBottom w:val="0"/>
      <w:divBdr>
        <w:top w:val="none" w:sz="0" w:space="0" w:color="auto"/>
        <w:left w:val="none" w:sz="0" w:space="0" w:color="auto"/>
        <w:bottom w:val="none" w:sz="0" w:space="0" w:color="auto"/>
        <w:right w:val="none" w:sz="0" w:space="0" w:color="auto"/>
      </w:divBdr>
      <w:divsChild>
        <w:div w:id="476609893">
          <w:marLeft w:val="0"/>
          <w:marRight w:val="0"/>
          <w:marTop w:val="0"/>
          <w:marBottom w:val="0"/>
          <w:divBdr>
            <w:top w:val="none" w:sz="0" w:space="0" w:color="auto"/>
            <w:left w:val="none" w:sz="0" w:space="0" w:color="auto"/>
            <w:bottom w:val="none" w:sz="0" w:space="0" w:color="auto"/>
            <w:right w:val="none" w:sz="0" w:space="0" w:color="auto"/>
          </w:divBdr>
        </w:div>
        <w:div w:id="1189680634">
          <w:marLeft w:val="0"/>
          <w:marRight w:val="0"/>
          <w:marTop w:val="0"/>
          <w:marBottom w:val="0"/>
          <w:divBdr>
            <w:top w:val="none" w:sz="0" w:space="0" w:color="auto"/>
            <w:left w:val="none" w:sz="0" w:space="0" w:color="auto"/>
            <w:bottom w:val="none" w:sz="0" w:space="0" w:color="auto"/>
            <w:right w:val="none" w:sz="0" w:space="0" w:color="auto"/>
          </w:divBdr>
        </w:div>
      </w:divsChild>
    </w:div>
    <w:div w:id="746849596">
      <w:bodyDiv w:val="1"/>
      <w:marLeft w:val="0"/>
      <w:marRight w:val="0"/>
      <w:marTop w:val="0"/>
      <w:marBottom w:val="0"/>
      <w:divBdr>
        <w:top w:val="none" w:sz="0" w:space="0" w:color="auto"/>
        <w:left w:val="none" w:sz="0" w:space="0" w:color="auto"/>
        <w:bottom w:val="none" w:sz="0" w:space="0" w:color="auto"/>
        <w:right w:val="none" w:sz="0" w:space="0" w:color="auto"/>
      </w:divBdr>
      <w:divsChild>
        <w:div w:id="17396511">
          <w:marLeft w:val="0"/>
          <w:marRight w:val="0"/>
          <w:marTop w:val="0"/>
          <w:marBottom w:val="0"/>
          <w:divBdr>
            <w:top w:val="none" w:sz="0" w:space="0" w:color="auto"/>
            <w:left w:val="none" w:sz="0" w:space="0" w:color="auto"/>
            <w:bottom w:val="none" w:sz="0" w:space="0" w:color="auto"/>
            <w:right w:val="none" w:sz="0" w:space="0" w:color="auto"/>
          </w:divBdr>
        </w:div>
        <w:div w:id="39596905">
          <w:marLeft w:val="0"/>
          <w:marRight w:val="0"/>
          <w:marTop w:val="0"/>
          <w:marBottom w:val="0"/>
          <w:divBdr>
            <w:top w:val="none" w:sz="0" w:space="0" w:color="auto"/>
            <w:left w:val="none" w:sz="0" w:space="0" w:color="auto"/>
            <w:bottom w:val="none" w:sz="0" w:space="0" w:color="auto"/>
            <w:right w:val="none" w:sz="0" w:space="0" w:color="auto"/>
          </w:divBdr>
        </w:div>
        <w:div w:id="140081104">
          <w:marLeft w:val="0"/>
          <w:marRight w:val="0"/>
          <w:marTop w:val="0"/>
          <w:marBottom w:val="0"/>
          <w:divBdr>
            <w:top w:val="none" w:sz="0" w:space="0" w:color="auto"/>
            <w:left w:val="none" w:sz="0" w:space="0" w:color="auto"/>
            <w:bottom w:val="none" w:sz="0" w:space="0" w:color="auto"/>
            <w:right w:val="none" w:sz="0" w:space="0" w:color="auto"/>
          </w:divBdr>
        </w:div>
        <w:div w:id="144782234">
          <w:marLeft w:val="0"/>
          <w:marRight w:val="0"/>
          <w:marTop w:val="0"/>
          <w:marBottom w:val="0"/>
          <w:divBdr>
            <w:top w:val="none" w:sz="0" w:space="0" w:color="auto"/>
            <w:left w:val="none" w:sz="0" w:space="0" w:color="auto"/>
            <w:bottom w:val="none" w:sz="0" w:space="0" w:color="auto"/>
            <w:right w:val="none" w:sz="0" w:space="0" w:color="auto"/>
          </w:divBdr>
        </w:div>
        <w:div w:id="238906115">
          <w:marLeft w:val="0"/>
          <w:marRight w:val="0"/>
          <w:marTop w:val="0"/>
          <w:marBottom w:val="0"/>
          <w:divBdr>
            <w:top w:val="none" w:sz="0" w:space="0" w:color="auto"/>
            <w:left w:val="none" w:sz="0" w:space="0" w:color="auto"/>
            <w:bottom w:val="none" w:sz="0" w:space="0" w:color="auto"/>
            <w:right w:val="none" w:sz="0" w:space="0" w:color="auto"/>
          </w:divBdr>
        </w:div>
        <w:div w:id="268781744">
          <w:marLeft w:val="0"/>
          <w:marRight w:val="0"/>
          <w:marTop w:val="0"/>
          <w:marBottom w:val="0"/>
          <w:divBdr>
            <w:top w:val="none" w:sz="0" w:space="0" w:color="auto"/>
            <w:left w:val="none" w:sz="0" w:space="0" w:color="auto"/>
            <w:bottom w:val="none" w:sz="0" w:space="0" w:color="auto"/>
            <w:right w:val="none" w:sz="0" w:space="0" w:color="auto"/>
          </w:divBdr>
        </w:div>
        <w:div w:id="295260573">
          <w:marLeft w:val="0"/>
          <w:marRight w:val="0"/>
          <w:marTop w:val="0"/>
          <w:marBottom w:val="0"/>
          <w:divBdr>
            <w:top w:val="none" w:sz="0" w:space="0" w:color="auto"/>
            <w:left w:val="none" w:sz="0" w:space="0" w:color="auto"/>
            <w:bottom w:val="none" w:sz="0" w:space="0" w:color="auto"/>
            <w:right w:val="none" w:sz="0" w:space="0" w:color="auto"/>
          </w:divBdr>
        </w:div>
        <w:div w:id="392318183">
          <w:marLeft w:val="0"/>
          <w:marRight w:val="0"/>
          <w:marTop w:val="0"/>
          <w:marBottom w:val="0"/>
          <w:divBdr>
            <w:top w:val="none" w:sz="0" w:space="0" w:color="auto"/>
            <w:left w:val="none" w:sz="0" w:space="0" w:color="auto"/>
            <w:bottom w:val="none" w:sz="0" w:space="0" w:color="auto"/>
            <w:right w:val="none" w:sz="0" w:space="0" w:color="auto"/>
          </w:divBdr>
        </w:div>
        <w:div w:id="395906059">
          <w:marLeft w:val="0"/>
          <w:marRight w:val="0"/>
          <w:marTop w:val="0"/>
          <w:marBottom w:val="0"/>
          <w:divBdr>
            <w:top w:val="none" w:sz="0" w:space="0" w:color="auto"/>
            <w:left w:val="none" w:sz="0" w:space="0" w:color="auto"/>
            <w:bottom w:val="none" w:sz="0" w:space="0" w:color="auto"/>
            <w:right w:val="none" w:sz="0" w:space="0" w:color="auto"/>
          </w:divBdr>
        </w:div>
        <w:div w:id="471220089">
          <w:marLeft w:val="0"/>
          <w:marRight w:val="0"/>
          <w:marTop w:val="0"/>
          <w:marBottom w:val="0"/>
          <w:divBdr>
            <w:top w:val="none" w:sz="0" w:space="0" w:color="auto"/>
            <w:left w:val="none" w:sz="0" w:space="0" w:color="auto"/>
            <w:bottom w:val="none" w:sz="0" w:space="0" w:color="auto"/>
            <w:right w:val="none" w:sz="0" w:space="0" w:color="auto"/>
          </w:divBdr>
        </w:div>
        <w:div w:id="508787986">
          <w:marLeft w:val="0"/>
          <w:marRight w:val="0"/>
          <w:marTop w:val="0"/>
          <w:marBottom w:val="0"/>
          <w:divBdr>
            <w:top w:val="none" w:sz="0" w:space="0" w:color="auto"/>
            <w:left w:val="none" w:sz="0" w:space="0" w:color="auto"/>
            <w:bottom w:val="none" w:sz="0" w:space="0" w:color="auto"/>
            <w:right w:val="none" w:sz="0" w:space="0" w:color="auto"/>
          </w:divBdr>
        </w:div>
        <w:div w:id="528182328">
          <w:marLeft w:val="0"/>
          <w:marRight w:val="0"/>
          <w:marTop w:val="0"/>
          <w:marBottom w:val="0"/>
          <w:divBdr>
            <w:top w:val="none" w:sz="0" w:space="0" w:color="auto"/>
            <w:left w:val="none" w:sz="0" w:space="0" w:color="auto"/>
            <w:bottom w:val="none" w:sz="0" w:space="0" w:color="auto"/>
            <w:right w:val="none" w:sz="0" w:space="0" w:color="auto"/>
          </w:divBdr>
        </w:div>
        <w:div w:id="595094640">
          <w:marLeft w:val="0"/>
          <w:marRight w:val="0"/>
          <w:marTop w:val="0"/>
          <w:marBottom w:val="0"/>
          <w:divBdr>
            <w:top w:val="none" w:sz="0" w:space="0" w:color="auto"/>
            <w:left w:val="none" w:sz="0" w:space="0" w:color="auto"/>
            <w:bottom w:val="none" w:sz="0" w:space="0" w:color="auto"/>
            <w:right w:val="none" w:sz="0" w:space="0" w:color="auto"/>
          </w:divBdr>
        </w:div>
        <w:div w:id="645282990">
          <w:marLeft w:val="0"/>
          <w:marRight w:val="0"/>
          <w:marTop w:val="0"/>
          <w:marBottom w:val="0"/>
          <w:divBdr>
            <w:top w:val="none" w:sz="0" w:space="0" w:color="auto"/>
            <w:left w:val="none" w:sz="0" w:space="0" w:color="auto"/>
            <w:bottom w:val="none" w:sz="0" w:space="0" w:color="auto"/>
            <w:right w:val="none" w:sz="0" w:space="0" w:color="auto"/>
          </w:divBdr>
        </w:div>
        <w:div w:id="670761290">
          <w:marLeft w:val="0"/>
          <w:marRight w:val="0"/>
          <w:marTop w:val="0"/>
          <w:marBottom w:val="0"/>
          <w:divBdr>
            <w:top w:val="none" w:sz="0" w:space="0" w:color="auto"/>
            <w:left w:val="none" w:sz="0" w:space="0" w:color="auto"/>
            <w:bottom w:val="none" w:sz="0" w:space="0" w:color="auto"/>
            <w:right w:val="none" w:sz="0" w:space="0" w:color="auto"/>
          </w:divBdr>
        </w:div>
        <w:div w:id="695085239">
          <w:marLeft w:val="0"/>
          <w:marRight w:val="0"/>
          <w:marTop w:val="0"/>
          <w:marBottom w:val="0"/>
          <w:divBdr>
            <w:top w:val="none" w:sz="0" w:space="0" w:color="auto"/>
            <w:left w:val="none" w:sz="0" w:space="0" w:color="auto"/>
            <w:bottom w:val="none" w:sz="0" w:space="0" w:color="auto"/>
            <w:right w:val="none" w:sz="0" w:space="0" w:color="auto"/>
          </w:divBdr>
        </w:div>
        <w:div w:id="736778730">
          <w:marLeft w:val="0"/>
          <w:marRight w:val="0"/>
          <w:marTop w:val="0"/>
          <w:marBottom w:val="0"/>
          <w:divBdr>
            <w:top w:val="none" w:sz="0" w:space="0" w:color="auto"/>
            <w:left w:val="none" w:sz="0" w:space="0" w:color="auto"/>
            <w:bottom w:val="none" w:sz="0" w:space="0" w:color="auto"/>
            <w:right w:val="none" w:sz="0" w:space="0" w:color="auto"/>
          </w:divBdr>
        </w:div>
        <w:div w:id="771559431">
          <w:marLeft w:val="0"/>
          <w:marRight w:val="0"/>
          <w:marTop w:val="0"/>
          <w:marBottom w:val="0"/>
          <w:divBdr>
            <w:top w:val="none" w:sz="0" w:space="0" w:color="auto"/>
            <w:left w:val="none" w:sz="0" w:space="0" w:color="auto"/>
            <w:bottom w:val="none" w:sz="0" w:space="0" w:color="auto"/>
            <w:right w:val="none" w:sz="0" w:space="0" w:color="auto"/>
          </w:divBdr>
        </w:div>
        <w:div w:id="791247352">
          <w:marLeft w:val="0"/>
          <w:marRight w:val="0"/>
          <w:marTop w:val="0"/>
          <w:marBottom w:val="0"/>
          <w:divBdr>
            <w:top w:val="none" w:sz="0" w:space="0" w:color="auto"/>
            <w:left w:val="none" w:sz="0" w:space="0" w:color="auto"/>
            <w:bottom w:val="none" w:sz="0" w:space="0" w:color="auto"/>
            <w:right w:val="none" w:sz="0" w:space="0" w:color="auto"/>
          </w:divBdr>
        </w:div>
        <w:div w:id="815102569">
          <w:marLeft w:val="0"/>
          <w:marRight w:val="0"/>
          <w:marTop w:val="0"/>
          <w:marBottom w:val="0"/>
          <w:divBdr>
            <w:top w:val="none" w:sz="0" w:space="0" w:color="auto"/>
            <w:left w:val="none" w:sz="0" w:space="0" w:color="auto"/>
            <w:bottom w:val="none" w:sz="0" w:space="0" w:color="auto"/>
            <w:right w:val="none" w:sz="0" w:space="0" w:color="auto"/>
          </w:divBdr>
        </w:div>
        <w:div w:id="850218325">
          <w:marLeft w:val="0"/>
          <w:marRight w:val="0"/>
          <w:marTop w:val="0"/>
          <w:marBottom w:val="0"/>
          <w:divBdr>
            <w:top w:val="none" w:sz="0" w:space="0" w:color="auto"/>
            <w:left w:val="none" w:sz="0" w:space="0" w:color="auto"/>
            <w:bottom w:val="none" w:sz="0" w:space="0" w:color="auto"/>
            <w:right w:val="none" w:sz="0" w:space="0" w:color="auto"/>
          </w:divBdr>
        </w:div>
        <w:div w:id="860509272">
          <w:marLeft w:val="0"/>
          <w:marRight w:val="0"/>
          <w:marTop w:val="0"/>
          <w:marBottom w:val="0"/>
          <w:divBdr>
            <w:top w:val="none" w:sz="0" w:space="0" w:color="auto"/>
            <w:left w:val="none" w:sz="0" w:space="0" w:color="auto"/>
            <w:bottom w:val="none" w:sz="0" w:space="0" w:color="auto"/>
            <w:right w:val="none" w:sz="0" w:space="0" w:color="auto"/>
          </w:divBdr>
        </w:div>
        <w:div w:id="916014065">
          <w:marLeft w:val="0"/>
          <w:marRight w:val="0"/>
          <w:marTop w:val="0"/>
          <w:marBottom w:val="0"/>
          <w:divBdr>
            <w:top w:val="none" w:sz="0" w:space="0" w:color="auto"/>
            <w:left w:val="none" w:sz="0" w:space="0" w:color="auto"/>
            <w:bottom w:val="none" w:sz="0" w:space="0" w:color="auto"/>
            <w:right w:val="none" w:sz="0" w:space="0" w:color="auto"/>
          </w:divBdr>
        </w:div>
        <w:div w:id="940651485">
          <w:marLeft w:val="0"/>
          <w:marRight w:val="0"/>
          <w:marTop w:val="0"/>
          <w:marBottom w:val="0"/>
          <w:divBdr>
            <w:top w:val="none" w:sz="0" w:space="0" w:color="auto"/>
            <w:left w:val="none" w:sz="0" w:space="0" w:color="auto"/>
            <w:bottom w:val="none" w:sz="0" w:space="0" w:color="auto"/>
            <w:right w:val="none" w:sz="0" w:space="0" w:color="auto"/>
          </w:divBdr>
        </w:div>
        <w:div w:id="948320534">
          <w:marLeft w:val="0"/>
          <w:marRight w:val="0"/>
          <w:marTop w:val="0"/>
          <w:marBottom w:val="0"/>
          <w:divBdr>
            <w:top w:val="none" w:sz="0" w:space="0" w:color="auto"/>
            <w:left w:val="none" w:sz="0" w:space="0" w:color="auto"/>
            <w:bottom w:val="none" w:sz="0" w:space="0" w:color="auto"/>
            <w:right w:val="none" w:sz="0" w:space="0" w:color="auto"/>
          </w:divBdr>
        </w:div>
        <w:div w:id="978464168">
          <w:marLeft w:val="0"/>
          <w:marRight w:val="0"/>
          <w:marTop w:val="0"/>
          <w:marBottom w:val="0"/>
          <w:divBdr>
            <w:top w:val="none" w:sz="0" w:space="0" w:color="auto"/>
            <w:left w:val="none" w:sz="0" w:space="0" w:color="auto"/>
            <w:bottom w:val="none" w:sz="0" w:space="0" w:color="auto"/>
            <w:right w:val="none" w:sz="0" w:space="0" w:color="auto"/>
          </w:divBdr>
        </w:div>
        <w:div w:id="996541616">
          <w:marLeft w:val="0"/>
          <w:marRight w:val="0"/>
          <w:marTop w:val="0"/>
          <w:marBottom w:val="0"/>
          <w:divBdr>
            <w:top w:val="none" w:sz="0" w:space="0" w:color="auto"/>
            <w:left w:val="none" w:sz="0" w:space="0" w:color="auto"/>
            <w:bottom w:val="none" w:sz="0" w:space="0" w:color="auto"/>
            <w:right w:val="none" w:sz="0" w:space="0" w:color="auto"/>
          </w:divBdr>
        </w:div>
        <w:div w:id="1040860660">
          <w:marLeft w:val="0"/>
          <w:marRight w:val="0"/>
          <w:marTop w:val="0"/>
          <w:marBottom w:val="0"/>
          <w:divBdr>
            <w:top w:val="none" w:sz="0" w:space="0" w:color="auto"/>
            <w:left w:val="none" w:sz="0" w:space="0" w:color="auto"/>
            <w:bottom w:val="none" w:sz="0" w:space="0" w:color="auto"/>
            <w:right w:val="none" w:sz="0" w:space="0" w:color="auto"/>
          </w:divBdr>
        </w:div>
        <w:div w:id="1058555055">
          <w:marLeft w:val="0"/>
          <w:marRight w:val="0"/>
          <w:marTop w:val="0"/>
          <w:marBottom w:val="0"/>
          <w:divBdr>
            <w:top w:val="none" w:sz="0" w:space="0" w:color="auto"/>
            <w:left w:val="none" w:sz="0" w:space="0" w:color="auto"/>
            <w:bottom w:val="none" w:sz="0" w:space="0" w:color="auto"/>
            <w:right w:val="none" w:sz="0" w:space="0" w:color="auto"/>
          </w:divBdr>
        </w:div>
        <w:div w:id="1058631259">
          <w:marLeft w:val="0"/>
          <w:marRight w:val="0"/>
          <w:marTop w:val="0"/>
          <w:marBottom w:val="0"/>
          <w:divBdr>
            <w:top w:val="none" w:sz="0" w:space="0" w:color="auto"/>
            <w:left w:val="none" w:sz="0" w:space="0" w:color="auto"/>
            <w:bottom w:val="none" w:sz="0" w:space="0" w:color="auto"/>
            <w:right w:val="none" w:sz="0" w:space="0" w:color="auto"/>
          </w:divBdr>
        </w:div>
        <w:div w:id="1073818138">
          <w:marLeft w:val="0"/>
          <w:marRight w:val="0"/>
          <w:marTop w:val="0"/>
          <w:marBottom w:val="0"/>
          <w:divBdr>
            <w:top w:val="none" w:sz="0" w:space="0" w:color="auto"/>
            <w:left w:val="none" w:sz="0" w:space="0" w:color="auto"/>
            <w:bottom w:val="none" w:sz="0" w:space="0" w:color="auto"/>
            <w:right w:val="none" w:sz="0" w:space="0" w:color="auto"/>
          </w:divBdr>
        </w:div>
        <w:div w:id="1116632397">
          <w:marLeft w:val="0"/>
          <w:marRight w:val="0"/>
          <w:marTop w:val="0"/>
          <w:marBottom w:val="0"/>
          <w:divBdr>
            <w:top w:val="none" w:sz="0" w:space="0" w:color="auto"/>
            <w:left w:val="none" w:sz="0" w:space="0" w:color="auto"/>
            <w:bottom w:val="none" w:sz="0" w:space="0" w:color="auto"/>
            <w:right w:val="none" w:sz="0" w:space="0" w:color="auto"/>
          </w:divBdr>
        </w:div>
        <w:div w:id="1220047269">
          <w:marLeft w:val="0"/>
          <w:marRight w:val="0"/>
          <w:marTop w:val="0"/>
          <w:marBottom w:val="0"/>
          <w:divBdr>
            <w:top w:val="none" w:sz="0" w:space="0" w:color="auto"/>
            <w:left w:val="none" w:sz="0" w:space="0" w:color="auto"/>
            <w:bottom w:val="none" w:sz="0" w:space="0" w:color="auto"/>
            <w:right w:val="none" w:sz="0" w:space="0" w:color="auto"/>
          </w:divBdr>
        </w:div>
        <w:div w:id="1220482471">
          <w:marLeft w:val="0"/>
          <w:marRight w:val="0"/>
          <w:marTop w:val="0"/>
          <w:marBottom w:val="0"/>
          <w:divBdr>
            <w:top w:val="none" w:sz="0" w:space="0" w:color="auto"/>
            <w:left w:val="none" w:sz="0" w:space="0" w:color="auto"/>
            <w:bottom w:val="none" w:sz="0" w:space="0" w:color="auto"/>
            <w:right w:val="none" w:sz="0" w:space="0" w:color="auto"/>
          </w:divBdr>
        </w:div>
        <w:div w:id="1315644533">
          <w:marLeft w:val="0"/>
          <w:marRight w:val="0"/>
          <w:marTop w:val="0"/>
          <w:marBottom w:val="0"/>
          <w:divBdr>
            <w:top w:val="none" w:sz="0" w:space="0" w:color="auto"/>
            <w:left w:val="none" w:sz="0" w:space="0" w:color="auto"/>
            <w:bottom w:val="none" w:sz="0" w:space="0" w:color="auto"/>
            <w:right w:val="none" w:sz="0" w:space="0" w:color="auto"/>
          </w:divBdr>
        </w:div>
        <w:div w:id="1406682072">
          <w:marLeft w:val="0"/>
          <w:marRight w:val="0"/>
          <w:marTop w:val="0"/>
          <w:marBottom w:val="0"/>
          <w:divBdr>
            <w:top w:val="none" w:sz="0" w:space="0" w:color="auto"/>
            <w:left w:val="none" w:sz="0" w:space="0" w:color="auto"/>
            <w:bottom w:val="none" w:sz="0" w:space="0" w:color="auto"/>
            <w:right w:val="none" w:sz="0" w:space="0" w:color="auto"/>
          </w:divBdr>
        </w:div>
        <w:div w:id="1446657870">
          <w:marLeft w:val="0"/>
          <w:marRight w:val="0"/>
          <w:marTop w:val="0"/>
          <w:marBottom w:val="0"/>
          <w:divBdr>
            <w:top w:val="none" w:sz="0" w:space="0" w:color="auto"/>
            <w:left w:val="none" w:sz="0" w:space="0" w:color="auto"/>
            <w:bottom w:val="none" w:sz="0" w:space="0" w:color="auto"/>
            <w:right w:val="none" w:sz="0" w:space="0" w:color="auto"/>
          </w:divBdr>
        </w:div>
        <w:div w:id="1553496614">
          <w:marLeft w:val="0"/>
          <w:marRight w:val="0"/>
          <w:marTop w:val="0"/>
          <w:marBottom w:val="0"/>
          <w:divBdr>
            <w:top w:val="none" w:sz="0" w:space="0" w:color="auto"/>
            <w:left w:val="none" w:sz="0" w:space="0" w:color="auto"/>
            <w:bottom w:val="none" w:sz="0" w:space="0" w:color="auto"/>
            <w:right w:val="none" w:sz="0" w:space="0" w:color="auto"/>
          </w:divBdr>
        </w:div>
        <w:div w:id="1561091622">
          <w:marLeft w:val="0"/>
          <w:marRight w:val="0"/>
          <w:marTop w:val="0"/>
          <w:marBottom w:val="0"/>
          <w:divBdr>
            <w:top w:val="none" w:sz="0" w:space="0" w:color="auto"/>
            <w:left w:val="none" w:sz="0" w:space="0" w:color="auto"/>
            <w:bottom w:val="none" w:sz="0" w:space="0" w:color="auto"/>
            <w:right w:val="none" w:sz="0" w:space="0" w:color="auto"/>
          </w:divBdr>
        </w:div>
        <w:div w:id="1568690222">
          <w:marLeft w:val="0"/>
          <w:marRight w:val="0"/>
          <w:marTop w:val="0"/>
          <w:marBottom w:val="0"/>
          <w:divBdr>
            <w:top w:val="none" w:sz="0" w:space="0" w:color="auto"/>
            <w:left w:val="none" w:sz="0" w:space="0" w:color="auto"/>
            <w:bottom w:val="none" w:sz="0" w:space="0" w:color="auto"/>
            <w:right w:val="none" w:sz="0" w:space="0" w:color="auto"/>
          </w:divBdr>
        </w:div>
        <w:div w:id="1589341054">
          <w:marLeft w:val="0"/>
          <w:marRight w:val="0"/>
          <w:marTop w:val="0"/>
          <w:marBottom w:val="0"/>
          <w:divBdr>
            <w:top w:val="none" w:sz="0" w:space="0" w:color="auto"/>
            <w:left w:val="none" w:sz="0" w:space="0" w:color="auto"/>
            <w:bottom w:val="none" w:sz="0" w:space="0" w:color="auto"/>
            <w:right w:val="none" w:sz="0" w:space="0" w:color="auto"/>
          </w:divBdr>
        </w:div>
        <w:div w:id="1608079975">
          <w:marLeft w:val="0"/>
          <w:marRight w:val="0"/>
          <w:marTop w:val="0"/>
          <w:marBottom w:val="0"/>
          <w:divBdr>
            <w:top w:val="none" w:sz="0" w:space="0" w:color="auto"/>
            <w:left w:val="none" w:sz="0" w:space="0" w:color="auto"/>
            <w:bottom w:val="none" w:sz="0" w:space="0" w:color="auto"/>
            <w:right w:val="none" w:sz="0" w:space="0" w:color="auto"/>
          </w:divBdr>
        </w:div>
        <w:div w:id="1730111608">
          <w:marLeft w:val="0"/>
          <w:marRight w:val="0"/>
          <w:marTop w:val="0"/>
          <w:marBottom w:val="0"/>
          <w:divBdr>
            <w:top w:val="none" w:sz="0" w:space="0" w:color="auto"/>
            <w:left w:val="none" w:sz="0" w:space="0" w:color="auto"/>
            <w:bottom w:val="none" w:sz="0" w:space="0" w:color="auto"/>
            <w:right w:val="none" w:sz="0" w:space="0" w:color="auto"/>
          </w:divBdr>
        </w:div>
        <w:div w:id="1731732347">
          <w:marLeft w:val="0"/>
          <w:marRight w:val="0"/>
          <w:marTop w:val="0"/>
          <w:marBottom w:val="0"/>
          <w:divBdr>
            <w:top w:val="none" w:sz="0" w:space="0" w:color="auto"/>
            <w:left w:val="none" w:sz="0" w:space="0" w:color="auto"/>
            <w:bottom w:val="none" w:sz="0" w:space="0" w:color="auto"/>
            <w:right w:val="none" w:sz="0" w:space="0" w:color="auto"/>
          </w:divBdr>
        </w:div>
        <w:div w:id="1737774588">
          <w:marLeft w:val="0"/>
          <w:marRight w:val="0"/>
          <w:marTop w:val="0"/>
          <w:marBottom w:val="0"/>
          <w:divBdr>
            <w:top w:val="none" w:sz="0" w:space="0" w:color="auto"/>
            <w:left w:val="none" w:sz="0" w:space="0" w:color="auto"/>
            <w:bottom w:val="none" w:sz="0" w:space="0" w:color="auto"/>
            <w:right w:val="none" w:sz="0" w:space="0" w:color="auto"/>
          </w:divBdr>
        </w:div>
        <w:div w:id="1771319615">
          <w:marLeft w:val="0"/>
          <w:marRight w:val="0"/>
          <w:marTop w:val="0"/>
          <w:marBottom w:val="0"/>
          <w:divBdr>
            <w:top w:val="none" w:sz="0" w:space="0" w:color="auto"/>
            <w:left w:val="none" w:sz="0" w:space="0" w:color="auto"/>
            <w:bottom w:val="none" w:sz="0" w:space="0" w:color="auto"/>
            <w:right w:val="none" w:sz="0" w:space="0" w:color="auto"/>
          </w:divBdr>
        </w:div>
        <w:div w:id="1782257869">
          <w:marLeft w:val="0"/>
          <w:marRight w:val="0"/>
          <w:marTop w:val="0"/>
          <w:marBottom w:val="0"/>
          <w:divBdr>
            <w:top w:val="none" w:sz="0" w:space="0" w:color="auto"/>
            <w:left w:val="none" w:sz="0" w:space="0" w:color="auto"/>
            <w:bottom w:val="none" w:sz="0" w:space="0" w:color="auto"/>
            <w:right w:val="none" w:sz="0" w:space="0" w:color="auto"/>
          </w:divBdr>
        </w:div>
        <w:div w:id="1795979890">
          <w:marLeft w:val="0"/>
          <w:marRight w:val="0"/>
          <w:marTop w:val="0"/>
          <w:marBottom w:val="0"/>
          <w:divBdr>
            <w:top w:val="none" w:sz="0" w:space="0" w:color="auto"/>
            <w:left w:val="none" w:sz="0" w:space="0" w:color="auto"/>
            <w:bottom w:val="none" w:sz="0" w:space="0" w:color="auto"/>
            <w:right w:val="none" w:sz="0" w:space="0" w:color="auto"/>
          </w:divBdr>
        </w:div>
        <w:div w:id="1834298140">
          <w:marLeft w:val="0"/>
          <w:marRight w:val="0"/>
          <w:marTop w:val="0"/>
          <w:marBottom w:val="0"/>
          <w:divBdr>
            <w:top w:val="none" w:sz="0" w:space="0" w:color="auto"/>
            <w:left w:val="none" w:sz="0" w:space="0" w:color="auto"/>
            <w:bottom w:val="none" w:sz="0" w:space="0" w:color="auto"/>
            <w:right w:val="none" w:sz="0" w:space="0" w:color="auto"/>
          </w:divBdr>
        </w:div>
        <w:div w:id="1837645319">
          <w:marLeft w:val="0"/>
          <w:marRight w:val="0"/>
          <w:marTop w:val="0"/>
          <w:marBottom w:val="0"/>
          <w:divBdr>
            <w:top w:val="none" w:sz="0" w:space="0" w:color="auto"/>
            <w:left w:val="none" w:sz="0" w:space="0" w:color="auto"/>
            <w:bottom w:val="none" w:sz="0" w:space="0" w:color="auto"/>
            <w:right w:val="none" w:sz="0" w:space="0" w:color="auto"/>
          </w:divBdr>
        </w:div>
        <w:div w:id="1881238548">
          <w:marLeft w:val="0"/>
          <w:marRight w:val="0"/>
          <w:marTop w:val="0"/>
          <w:marBottom w:val="0"/>
          <w:divBdr>
            <w:top w:val="none" w:sz="0" w:space="0" w:color="auto"/>
            <w:left w:val="none" w:sz="0" w:space="0" w:color="auto"/>
            <w:bottom w:val="none" w:sz="0" w:space="0" w:color="auto"/>
            <w:right w:val="none" w:sz="0" w:space="0" w:color="auto"/>
          </w:divBdr>
        </w:div>
        <w:div w:id="2002276092">
          <w:marLeft w:val="0"/>
          <w:marRight w:val="0"/>
          <w:marTop w:val="0"/>
          <w:marBottom w:val="0"/>
          <w:divBdr>
            <w:top w:val="none" w:sz="0" w:space="0" w:color="auto"/>
            <w:left w:val="none" w:sz="0" w:space="0" w:color="auto"/>
            <w:bottom w:val="none" w:sz="0" w:space="0" w:color="auto"/>
            <w:right w:val="none" w:sz="0" w:space="0" w:color="auto"/>
          </w:divBdr>
        </w:div>
        <w:div w:id="2041738734">
          <w:marLeft w:val="0"/>
          <w:marRight w:val="0"/>
          <w:marTop w:val="0"/>
          <w:marBottom w:val="0"/>
          <w:divBdr>
            <w:top w:val="none" w:sz="0" w:space="0" w:color="auto"/>
            <w:left w:val="none" w:sz="0" w:space="0" w:color="auto"/>
            <w:bottom w:val="none" w:sz="0" w:space="0" w:color="auto"/>
            <w:right w:val="none" w:sz="0" w:space="0" w:color="auto"/>
          </w:divBdr>
        </w:div>
        <w:div w:id="2053267697">
          <w:marLeft w:val="0"/>
          <w:marRight w:val="0"/>
          <w:marTop w:val="0"/>
          <w:marBottom w:val="0"/>
          <w:divBdr>
            <w:top w:val="none" w:sz="0" w:space="0" w:color="auto"/>
            <w:left w:val="none" w:sz="0" w:space="0" w:color="auto"/>
            <w:bottom w:val="none" w:sz="0" w:space="0" w:color="auto"/>
            <w:right w:val="none" w:sz="0" w:space="0" w:color="auto"/>
          </w:divBdr>
        </w:div>
        <w:div w:id="2126002339">
          <w:marLeft w:val="0"/>
          <w:marRight w:val="0"/>
          <w:marTop w:val="0"/>
          <w:marBottom w:val="0"/>
          <w:divBdr>
            <w:top w:val="none" w:sz="0" w:space="0" w:color="auto"/>
            <w:left w:val="none" w:sz="0" w:space="0" w:color="auto"/>
            <w:bottom w:val="none" w:sz="0" w:space="0" w:color="auto"/>
            <w:right w:val="none" w:sz="0" w:space="0" w:color="auto"/>
          </w:divBdr>
        </w:div>
      </w:divsChild>
    </w:div>
    <w:div w:id="778992289">
      <w:bodyDiv w:val="1"/>
      <w:marLeft w:val="0"/>
      <w:marRight w:val="0"/>
      <w:marTop w:val="0"/>
      <w:marBottom w:val="0"/>
      <w:divBdr>
        <w:top w:val="none" w:sz="0" w:space="0" w:color="auto"/>
        <w:left w:val="none" w:sz="0" w:space="0" w:color="auto"/>
        <w:bottom w:val="none" w:sz="0" w:space="0" w:color="auto"/>
        <w:right w:val="none" w:sz="0" w:space="0" w:color="auto"/>
      </w:divBdr>
      <w:divsChild>
        <w:div w:id="39324110">
          <w:marLeft w:val="0"/>
          <w:marRight w:val="0"/>
          <w:marTop w:val="0"/>
          <w:marBottom w:val="0"/>
          <w:divBdr>
            <w:top w:val="none" w:sz="0" w:space="0" w:color="auto"/>
            <w:left w:val="none" w:sz="0" w:space="0" w:color="auto"/>
            <w:bottom w:val="none" w:sz="0" w:space="0" w:color="auto"/>
            <w:right w:val="none" w:sz="0" w:space="0" w:color="auto"/>
          </w:divBdr>
        </w:div>
        <w:div w:id="46229087">
          <w:marLeft w:val="0"/>
          <w:marRight w:val="0"/>
          <w:marTop w:val="0"/>
          <w:marBottom w:val="0"/>
          <w:divBdr>
            <w:top w:val="none" w:sz="0" w:space="0" w:color="auto"/>
            <w:left w:val="none" w:sz="0" w:space="0" w:color="auto"/>
            <w:bottom w:val="none" w:sz="0" w:space="0" w:color="auto"/>
            <w:right w:val="none" w:sz="0" w:space="0" w:color="auto"/>
          </w:divBdr>
        </w:div>
        <w:div w:id="130094345">
          <w:marLeft w:val="0"/>
          <w:marRight w:val="0"/>
          <w:marTop w:val="0"/>
          <w:marBottom w:val="0"/>
          <w:divBdr>
            <w:top w:val="none" w:sz="0" w:space="0" w:color="auto"/>
            <w:left w:val="none" w:sz="0" w:space="0" w:color="auto"/>
            <w:bottom w:val="none" w:sz="0" w:space="0" w:color="auto"/>
            <w:right w:val="none" w:sz="0" w:space="0" w:color="auto"/>
          </w:divBdr>
        </w:div>
        <w:div w:id="196938978">
          <w:marLeft w:val="0"/>
          <w:marRight w:val="0"/>
          <w:marTop w:val="0"/>
          <w:marBottom w:val="0"/>
          <w:divBdr>
            <w:top w:val="none" w:sz="0" w:space="0" w:color="auto"/>
            <w:left w:val="none" w:sz="0" w:space="0" w:color="auto"/>
            <w:bottom w:val="none" w:sz="0" w:space="0" w:color="auto"/>
            <w:right w:val="none" w:sz="0" w:space="0" w:color="auto"/>
          </w:divBdr>
        </w:div>
        <w:div w:id="212280706">
          <w:marLeft w:val="0"/>
          <w:marRight w:val="0"/>
          <w:marTop w:val="0"/>
          <w:marBottom w:val="0"/>
          <w:divBdr>
            <w:top w:val="none" w:sz="0" w:space="0" w:color="auto"/>
            <w:left w:val="none" w:sz="0" w:space="0" w:color="auto"/>
            <w:bottom w:val="none" w:sz="0" w:space="0" w:color="auto"/>
            <w:right w:val="none" w:sz="0" w:space="0" w:color="auto"/>
          </w:divBdr>
        </w:div>
        <w:div w:id="242421991">
          <w:marLeft w:val="0"/>
          <w:marRight w:val="0"/>
          <w:marTop w:val="0"/>
          <w:marBottom w:val="0"/>
          <w:divBdr>
            <w:top w:val="none" w:sz="0" w:space="0" w:color="auto"/>
            <w:left w:val="none" w:sz="0" w:space="0" w:color="auto"/>
            <w:bottom w:val="none" w:sz="0" w:space="0" w:color="auto"/>
            <w:right w:val="none" w:sz="0" w:space="0" w:color="auto"/>
          </w:divBdr>
        </w:div>
        <w:div w:id="347753551">
          <w:marLeft w:val="0"/>
          <w:marRight w:val="0"/>
          <w:marTop w:val="0"/>
          <w:marBottom w:val="0"/>
          <w:divBdr>
            <w:top w:val="none" w:sz="0" w:space="0" w:color="auto"/>
            <w:left w:val="none" w:sz="0" w:space="0" w:color="auto"/>
            <w:bottom w:val="none" w:sz="0" w:space="0" w:color="auto"/>
            <w:right w:val="none" w:sz="0" w:space="0" w:color="auto"/>
          </w:divBdr>
        </w:div>
        <w:div w:id="430318684">
          <w:marLeft w:val="0"/>
          <w:marRight w:val="0"/>
          <w:marTop w:val="0"/>
          <w:marBottom w:val="0"/>
          <w:divBdr>
            <w:top w:val="none" w:sz="0" w:space="0" w:color="auto"/>
            <w:left w:val="none" w:sz="0" w:space="0" w:color="auto"/>
            <w:bottom w:val="none" w:sz="0" w:space="0" w:color="auto"/>
            <w:right w:val="none" w:sz="0" w:space="0" w:color="auto"/>
          </w:divBdr>
        </w:div>
        <w:div w:id="514349830">
          <w:marLeft w:val="0"/>
          <w:marRight w:val="0"/>
          <w:marTop w:val="0"/>
          <w:marBottom w:val="0"/>
          <w:divBdr>
            <w:top w:val="none" w:sz="0" w:space="0" w:color="auto"/>
            <w:left w:val="none" w:sz="0" w:space="0" w:color="auto"/>
            <w:bottom w:val="none" w:sz="0" w:space="0" w:color="auto"/>
            <w:right w:val="none" w:sz="0" w:space="0" w:color="auto"/>
          </w:divBdr>
        </w:div>
        <w:div w:id="515198043">
          <w:marLeft w:val="0"/>
          <w:marRight w:val="0"/>
          <w:marTop w:val="0"/>
          <w:marBottom w:val="0"/>
          <w:divBdr>
            <w:top w:val="none" w:sz="0" w:space="0" w:color="auto"/>
            <w:left w:val="none" w:sz="0" w:space="0" w:color="auto"/>
            <w:bottom w:val="none" w:sz="0" w:space="0" w:color="auto"/>
            <w:right w:val="none" w:sz="0" w:space="0" w:color="auto"/>
          </w:divBdr>
        </w:div>
        <w:div w:id="572619965">
          <w:marLeft w:val="0"/>
          <w:marRight w:val="0"/>
          <w:marTop w:val="0"/>
          <w:marBottom w:val="0"/>
          <w:divBdr>
            <w:top w:val="none" w:sz="0" w:space="0" w:color="auto"/>
            <w:left w:val="none" w:sz="0" w:space="0" w:color="auto"/>
            <w:bottom w:val="none" w:sz="0" w:space="0" w:color="auto"/>
            <w:right w:val="none" w:sz="0" w:space="0" w:color="auto"/>
          </w:divBdr>
        </w:div>
        <w:div w:id="779646995">
          <w:marLeft w:val="0"/>
          <w:marRight w:val="0"/>
          <w:marTop w:val="0"/>
          <w:marBottom w:val="0"/>
          <w:divBdr>
            <w:top w:val="none" w:sz="0" w:space="0" w:color="auto"/>
            <w:left w:val="none" w:sz="0" w:space="0" w:color="auto"/>
            <w:bottom w:val="none" w:sz="0" w:space="0" w:color="auto"/>
            <w:right w:val="none" w:sz="0" w:space="0" w:color="auto"/>
          </w:divBdr>
        </w:div>
        <w:div w:id="815335459">
          <w:marLeft w:val="0"/>
          <w:marRight w:val="0"/>
          <w:marTop w:val="0"/>
          <w:marBottom w:val="0"/>
          <w:divBdr>
            <w:top w:val="none" w:sz="0" w:space="0" w:color="auto"/>
            <w:left w:val="none" w:sz="0" w:space="0" w:color="auto"/>
            <w:bottom w:val="none" w:sz="0" w:space="0" w:color="auto"/>
            <w:right w:val="none" w:sz="0" w:space="0" w:color="auto"/>
          </w:divBdr>
        </w:div>
        <w:div w:id="916984905">
          <w:marLeft w:val="0"/>
          <w:marRight w:val="0"/>
          <w:marTop w:val="0"/>
          <w:marBottom w:val="0"/>
          <w:divBdr>
            <w:top w:val="none" w:sz="0" w:space="0" w:color="auto"/>
            <w:left w:val="none" w:sz="0" w:space="0" w:color="auto"/>
            <w:bottom w:val="none" w:sz="0" w:space="0" w:color="auto"/>
            <w:right w:val="none" w:sz="0" w:space="0" w:color="auto"/>
          </w:divBdr>
        </w:div>
        <w:div w:id="939723583">
          <w:marLeft w:val="0"/>
          <w:marRight w:val="0"/>
          <w:marTop w:val="0"/>
          <w:marBottom w:val="0"/>
          <w:divBdr>
            <w:top w:val="none" w:sz="0" w:space="0" w:color="auto"/>
            <w:left w:val="none" w:sz="0" w:space="0" w:color="auto"/>
            <w:bottom w:val="none" w:sz="0" w:space="0" w:color="auto"/>
            <w:right w:val="none" w:sz="0" w:space="0" w:color="auto"/>
          </w:divBdr>
        </w:div>
        <w:div w:id="1009334420">
          <w:marLeft w:val="0"/>
          <w:marRight w:val="0"/>
          <w:marTop w:val="0"/>
          <w:marBottom w:val="0"/>
          <w:divBdr>
            <w:top w:val="none" w:sz="0" w:space="0" w:color="auto"/>
            <w:left w:val="none" w:sz="0" w:space="0" w:color="auto"/>
            <w:bottom w:val="none" w:sz="0" w:space="0" w:color="auto"/>
            <w:right w:val="none" w:sz="0" w:space="0" w:color="auto"/>
          </w:divBdr>
        </w:div>
        <w:div w:id="1023556364">
          <w:marLeft w:val="0"/>
          <w:marRight w:val="0"/>
          <w:marTop w:val="0"/>
          <w:marBottom w:val="0"/>
          <w:divBdr>
            <w:top w:val="none" w:sz="0" w:space="0" w:color="auto"/>
            <w:left w:val="none" w:sz="0" w:space="0" w:color="auto"/>
            <w:bottom w:val="none" w:sz="0" w:space="0" w:color="auto"/>
            <w:right w:val="none" w:sz="0" w:space="0" w:color="auto"/>
          </w:divBdr>
        </w:div>
        <w:div w:id="1095370782">
          <w:marLeft w:val="0"/>
          <w:marRight w:val="0"/>
          <w:marTop w:val="0"/>
          <w:marBottom w:val="0"/>
          <w:divBdr>
            <w:top w:val="none" w:sz="0" w:space="0" w:color="auto"/>
            <w:left w:val="none" w:sz="0" w:space="0" w:color="auto"/>
            <w:bottom w:val="none" w:sz="0" w:space="0" w:color="auto"/>
            <w:right w:val="none" w:sz="0" w:space="0" w:color="auto"/>
          </w:divBdr>
        </w:div>
        <w:div w:id="1100418197">
          <w:marLeft w:val="0"/>
          <w:marRight w:val="0"/>
          <w:marTop w:val="0"/>
          <w:marBottom w:val="0"/>
          <w:divBdr>
            <w:top w:val="none" w:sz="0" w:space="0" w:color="auto"/>
            <w:left w:val="none" w:sz="0" w:space="0" w:color="auto"/>
            <w:bottom w:val="none" w:sz="0" w:space="0" w:color="auto"/>
            <w:right w:val="none" w:sz="0" w:space="0" w:color="auto"/>
          </w:divBdr>
        </w:div>
        <w:div w:id="1127553749">
          <w:marLeft w:val="0"/>
          <w:marRight w:val="0"/>
          <w:marTop w:val="0"/>
          <w:marBottom w:val="0"/>
          <w:divBdr>
            <w:top w:val="none" w:sz="0" w:space="0" w:color="auto"/>
            <w:left w:val="none" w:sz="0" w:space="0" w:color="auto"/>
            <w:bottom w:val="none" w:sz="0" w:space="0" w:color="auto"/>
            <w:right w:val="none" w:sz="0" w:space="0" w:color="auto"/>
          </w:divBdr>
        </w:div>
        <w:div w:id="1274898807">
          <w:marLeft w:val="0"/>
          <w:marRight w:val="0"/>
          <w:marTop w:val="0"/>
          <w:marBottom w:val="0"/>
          <w:divBdr>
            <w:top w:val="none" w:sz="0" w:space="0" w:color="auto"/>
            <w:left w:val="none" w:sz="0" w:space="0" w:color="auto"/>
            <w:bottom w:val="none" w:sz="0" w:space="0" w:color="auto"/>
            <w:right w:val="none" w:sz="0" w:space="0" w:color="auto"/>
          </w:divBdr>
        </w:div>
        <w:div w:id="1470316451">
          <w:marLeft w:val="0"/>
          <w:marRight w:val="0"/>
          <w:marTop w:val="0"/>
          <w:marBottom w:val="0"/>
          <w:divBdr>
            <w:top w:val="none" w:sz="0" w:space="0" w:color="auto"/>
            <w:left w:val="none" w:sz="0" w:space="0" w:color="auto"/>
            <w:bottom w:val="none" w:sz="0" w:space="0" w:color="auto"/>
            <w:right w:val="none" w:sz="0" w:space="0" w:color="auto"/>
          </w:divBdr>
        </w:div>
        <w:div w:id="1528064229">
          <w:marLeft w:val="0"/>
          <w:marRight w:val="0"/>
          <w:marTop w:val="0"/>
          <w:marBottom w:val="0"/>
          <w:divBdr>
            <w:top w:val="none" w:sz="0" w:space="0" w:color="auto"/>
            <w:left w:val="none" w:sz="0" w:space="0" w:color="auto"/>
            <w:bottom w:val="none" w:sz="0" w:space="0" w:color="auto"/>
            <w:right w:val="none" w:sz="0" w:space="0" w:color="auto"/>
          </w:divBdr>
        </w:div>
        <w:div w:id="1543517025">
          <w:marLeft w:val="0"/>
          <w:marRight w:val="0"/>
          <w:marTop w:val="0"/>
          <w:marBottom w:val="0"/>
          <w:divBdr>
            <w:top w:val="none" w:sz="0" w:space="0" w:color="auto"/>
            <w:left w:val="none" w:sz="0" w:space="0" w:color="auto"/>
            <w:bottom w:val="none" w:sz="0" w:space="0" w:color="auto"/>
            <w:right w:val="none" w:sz="0" w:space="0" w:color="auto"/>
          </w:divBdr>
        </w:div>
        <w:div w:id="1658342807">
          <w:marLeft w:val="0"/>
          <w:marRight w:val="0"/>
          <w:marTop w:val="0"/>
          <w:marBottom w:val="0"/>
          <w:divBdr>
            <w:top w:val="none" w:sz="0" w:space="0" w:color="auto"/>
            <w:left w:val="none" w:sz="0" w:space="0" w:color="auto"/>
            <w:bottom w:val="none" w:sz="0" w:space="0" w:color="auto"/>
            <w:right w:val="none" w:sz="0" w:space="0" w:color="auto"/>
          </w:divBdr>
        </w:div>
        <w:div w:id="1685324029">
          <w:marLeft w:val="0"/>
          <w:marRight w:val="0"/>
          <w:marTop w:val="0"/>
          <w:marBottom w:val="0"/>
          <w:divBdr>
            <w:top w:val="none" w:sz="0" w:space="0" w:color="auto"/>
            <w:left w:val="none" w:sz="0" w:space="0" w:color="auto"/>
            <w:bottom w:val="none" w:sz="0" w:space="0" w:color="auto"/>
            <w:right w:val="none" w:sz="0" w:space="0" w:color="auto"/>
          </w:divBdr>
        </w:div>
        <w:div w:id="1697922613">
          <w:marLeft w:val="0"/>
          <w:marRight w:val="0"/>
          <w:marTop w:val="0"/>
          <w:marBottom w:val="0"/>
          <w:divBdr>
            <w:top w:val="none" w:sz="0" w:space="0" w:color="auto"/>
            <w:left w:val="none" w:sz="0" w:space="0" w:color="auto"/>
            <w:bottom w:val="none" w:sz="0" w:space="0" w:color="auto"/>
            <w:right w:val="none" w:sz="0" w:space="0" w:color="auto"/>
          </w:divBdr>
        </w:div>
        <w:div w:id="1778402057">
          <w:marLeft w:val="0"/>
          <w:marRight w:val="0"/>
          <w:marTop w:val="0"/>
          <w:marBottom w:val="0"/>
          <w:divBdr>
            <w:top w:val="none" w:sz="0" w:space="0" w:color="auto"/>
            <w:left w:val="none" w:sz="0" w:space="0" w:color="auto"/>
            <w:bottom w:val="none" w:sz="0" w:space="0" w:color="auto"/>
            <w:right w:val="none" w:sz="0" w:space="0" w:color="auto"/>
          </w:divBdr>
        </w:div>
        <w:div w:id="1815445155">
          <w:marLeft w:val="0"/>
          <w:marRight w:val="0"/>
          <w:marTop w:val="0"/>
          <w:marBottom w:val="0"/>
          <w:divBdr>
            <w:top w:val="none" w:sz="0" w:space="0" w:color="auto"/>
            <w:left w:val="none" w:sz="0" w:space="0" w:color="auto"/>
            <w:bottom w:val="none" w:sz="0" w:space="0" w:color="auto"/>
            <w:right w:val="none" w:sz="0" w:space="0" w:color="auto"/>
          </w:divBdr>
        </w:div>
        <w:div w:id="1826968626">
          <w:marLeft w:val="0"/>
          <w:marRight w:val="0"/>
          <w:marTop w:val="0"/>
          <w:marBottom w:val="0"/>
          <w:divBdr>
            <w:top w:val="none" w:sz="0" w:space="0" w:color="auto"/>
            <w:left w:val="none" w:sz="0" w:space="0" w:color="auto"/>
            <w:bottom w:val="none" w:sz="0" w:space="0" w:color="auto"/>
            <w:right w:val="none" w:sz="0" w:space="0" w:color="auto"/>
          </w:divBdr>
        </w:div>
        <w:div w:id="1841771554">
          <w:marLeft w:val="0"/>
          <w:marRight w:val="0"/>
          <w:marTop w:val="0"/>
          <w:marBottom w:val="0"/>
          <w:divBdr>
            <w:top w:val="none" w:sz="0" w:space="0" w:color="auto"/>
            <w:left w:val="none" w:sz="0" w:space="0" w:color="auto"/>
            <w:bottom w:val="none" w:sz="0" w:space="0" w:color="auto"/>
            <w:right w:val="none" w:sz="0" w:space="0" w:color="auto"/>
          </w:divBdr>
        </w:div>
        <w:div w:id="1843470642">
          <w:marLeft w:val="0"/>
          <w:marRight w:val="0"/>
          <w:marTop w:val="0"/>
          <w:marBottom w:val="0"/>
          <w:divBdr>
            <w:top w:val="none" w:sz="0" w:space="0" w:color="auto"/>
            <w:left w:val="none" w:sz="0" w:space="0" w:color="auto"/>
            <w:bottom w:val="none" w:sz="0" w:space="0" w:color="auto"/>
            <w:right w:val="none" w:sz="0" w:space="0" w:color="auto"/>
          </w:divBdr>
        </w:div>
        <w:div w:id="1892885220">
          <w:marLeft w:val="0"/>
          <w:marRight w:val="0"/>
          <w:marTop w:val="0"/>
          <w:marBottom w:val="0"/>
          <w:divBdr>
            <w:top w:val="none" w:sz="0" w:space="0" w:color="auto"/>
            <w:left w:val="none" w:sz="0" w:space="0" w:color="auto"/>
            <w:bottom w:val="none" w:sz="0" w:space="0" w:color="auto"/>
            <w:right w:val="none" w:sz="0" w:space="0" w:color="auto"/>
          </w:divBdr>
        </w:div>
        <w:div w:id="2082408828">
          <w:marLeft w:val="0"/>
          <w:marRight w:val="0"/>
          <w:marTop w:val="0"/>
          <w:marBottom w:val="0"/>
          <w:divBdr>
            <w:top w:val="none" w:sz="0" w:space="0" w:color="auto"/>
            <w:left w:val="none" w:sz="0" w:space="0" w:color="auto"/>
            <w:bottom w:val="none" w:sz="0" w:space="0" w:color="auto"/>
            <w:right w:val="none" w:sz="0" w:space="0" w:color="auto"/>
          </w:divBdr>
        </w:div>
        <w:div w:id="2107992733">
          <w:marLeft w:val="0"/>
          <w:marRight w:val="0"/>
          <w:marTop w:val="0"/>
          <w:marBottom w:val="0"/>
          <w:divBdr>
            <w:top w:val="none" w:sz="0" w:space="0" w:color="auto"/>
            <w:left w:val="none" w:sz="0" w:space="0" w:color="auto"/>
            <w:bottom w:val="none" w:sz="0" w:space="0" w:color="auto"/>
            <w:right w:val="none" w:sz="0" w:space="0" w:color="auto"/>
          </w:divBdr>
        </w:div>
        <w:div w:id="2122216106">
          <w:marLeft w:val="0"/>
          <w:marRight w:val="0"/>
          <w:marTop w:val="0"/>
          <w:marBottom w:val="0"/>
          <w:divBdr>
            <w:top w:val="none" w:sz="0" w:space="0" w:color="auto"/>
            <w:left w:val="none" w:sz="0" w:space="0" w:color="auto"/>
            <w:bottom w:val="none" w:sz="0" w:space="0" w:color="auto"/>
            <w:right w:val="none" w:sz="0" w:space="0" w:color="auto"/>
          </w:divBdr>
        </w:div>
        <w:div w:id="2147046539">
          <w:marLeft w:val="0"/>
          <w:marRight w:val="0"/>
          <w:marTop w:val="0"/>
          <w:marBottom w:val="0"/>
          <w:divBdr>
            <w:top w:val="none" w:sz="0" w:space="0" w:color="auto"/>
            <w:left w:val="none" w:sz="0" w:space="0" w:color="auto"/>
            <w:bottom w:val="none" w:sz="0" w:space="0" w:color="auto"/>
            <w:right w:val="none" w:sz="0" w:space="0" w:color="auto"/>
          </w:divBdr>
        </w:div>
      </w:divsChild>
    </w:div>
    <w:div w:id="1420718244">
      <w:bodyDiv w:val="1"/>
      <w:marLeft w:val="0"/>
      <w:marRight w:val="0"/>
      <w:marTop w:val="0"/>
      <w:marBottom w:val="0"/>
      <w:divBdr>
        <w:top w:val="none" w:sz="0" w:space="0" w:color="auto"/>
        <w:left w:val="none" w:sz="0" w:space="0" w:color="auto"/>
        <w:bottom w:val="none" w:sz="0" w:space="0" w:color="auto"/>
        <w:right w:val="none" w:sz="0" w:space="0" w:color="auto"/>
      </w:divBdr>
      <w:divsChild>
        <w:div w:id="651956974">
          <w:marLeft w:val="0"/>
          <w:marRight w:val="0"/>
          <w:marTop w:val="0"/>
          <w:marBottom w:val="0"/>
          <w:divBdr>
            <w:top w:val="none" w:sz="0" w:space="0" w:color="auto"/>
            <w:left w:val="none" w:sz="0" w:space="0" w:color="auto"/>
            <w:bottom w:val="none" w:sz="0" w:space="0" w:color="auto"/>
            <w:right w:val="none" w:sz="0" w:space="0" w:color="auto"/>
          </w:divBdr>
        </w:div>
        <w:div w:id="1280378768">
          <w:marLeft w:val="0"/>
          <w:marRight w:val="0"/>
          <w:marTop w:val="0"/>
          <w:marBottom w:val="0"/>
          <w:divBdr>
            <w:top w:val="none" w:sz="0" w:space="0" w:color="auto"/>
            <w:left w:val="none" w:sz="0" w:space="0" w:color="auto"/>
            <w:bottom w:val="none" w:sz="0" w:space="0" w:color="auto"/>
            <w:right w:val="none" w:sz="0" w:space="0" w:color="auto"/>
          </w:divBdr>
        </w:div>
      </w:divsChild>
    </w:div>
    <w:div w:id="1781602899">
      <w:bodyDiv w:val="1"/>
      <w:marLeft w:val="0"/>
      <w:marRight w:val="0"/>
      <w:marTop w:val="0"/>
      <w:marBottom w:val="0"/>
      <w:divBdr>
        <w:top w:val="none" w:sz="0" w:space="0" w:color="auto"/>
        <w:left w:val="none" w:sz="0" w:space="0" w:color="auto"/>
        <w:bottom w:val="none" w:sz="0" w:space="0" w:color="auto"/>
        <w:right w:val="none" w:sz="0" w:space="0" w:color="auto"/>
      </w:divBdr>
      <w:divsChild>
        <w:div w:id="33895558">
          <w:marLeft w:val="0"/>
          <w:marRight w:val="0"/>
          <w:marTop w:val="0"/>
          <w:marBottom w:val="0"/>
          <w:divBdr>
            <w:top w:val="none" w:sz="0" w:space="0" w:color="auto"/>
            <w:left w:val="none" w:sz="0" w:space="0" w:color="auto"/>
            <w:bottom w:val="none" w:sz="0" w:space="0" w:color="auto"/>
            <w:right w:val="none" w:sz="0" w:space="0" w:color="auto"/>
          </w:divBdr>
        </w:div>
        <w:div w:id="44915115">
          <w:marLeft w:val="0"/>
          <w:marRight w:val="0"/>
          <w:marTop w:val="0"/>
          <w:marBottom w:val="0"/>
          <w:divBdr>
            <w:top w:val="none" w:sz="0" w:space="0" w:color="auto"/>
            <w:left w:val="none" w:sz="0" w:space="0" w:color="auto"/>
            <w:bottom w:val="none" w:sz="0" w:space="0" w:color="auto"/>
            <w:right w:val="none" w:sz="0" w:space="0" w:color="auto"/>
          </w:divBdr>
        </w:div>
        <w:div w:id="63797676">
          <w:marLeft w:val="0"/>
          <w:marRight w:val="0"/>
          <w:marTop w:val="0"/>
          <w:marBottom w:val="0"/>
          <w:divBdr>
            <w:top w:val="none" w:sz="0" w:space="0" w:color="auto"/>
            <w:left w:val="none" w:sz="0" w:space="0" w:color="auto"/>
            <w:bottom w:val="none" w:sz="0" w:space="0" w:color="auto"/>
            <w:right w:val="none" w:sz="0" w:space="0" w:color="auto"/>
          </w:divBdr>
        </w:div>
        <w:div w:id="106512616">
          <w:marLeft w:val="0"/>
          <w:marRight w:val="0"/>
          <w:marTop w:val="0"/>
          <w:marBottom w:val="0"/>
          <w:divBdr>
            <w:top w:val="none" w:sz="0" w:space="0" w:color="auto"/>
            <w:left w:val="none" w:sz="0" w:space="0" w:color="auto"/>
            <w:bottom w:val="none" w:sz="0" w:space="0" w:color="auto"/>
            <w:right w:val="none" w:sz="0" w:space="0" w:color="auto"/>
          </w:divBdr>
        </w:div>
        <w:div w:id="122429069">
          <w:marLeft w:val="0"/>
          <w:marRight w:val="0"/>
          <w:marTop w:val="0"/>
          <w:marBottom w:val="0"/>
          <w:divBdr>
            <w:top w:val="none" w:sz="0" w:space="0" w:color="auto"/>
            <w:left w:val="none" w:sz="0" w:space="0" w:color="auto"/>
            <w:bottom w:val="none" w:sz="0" w:space="0" w:color="auto"/>
            <w:right w:val="none" w:sz="0" w:space="0" w:color="auto"/>
          </w:divBdr>
        </w:div>
        <w:div w:id="129984978">
          <w:marLeft w:val="0"/>
          <w:marRight w:val="0"/>
          <w:marTop w:val="0"/>
          <w:marBottom w:val="0"/>
          <w:divBdr>
            <w:top w:val="none" w:sz="0" w:space="0" w:color="auto"/>
            <w:left w:val="none" w:sz="0" w:space="0" w:color="auto"/>
            <w:bottom w:val="none" w:sz="0" w:space="0" w:color="auto"/>
            <w:right w:val="none" w:sz="0" w:space="0" w:color="auto"/>
          </w:divBdr>
        </w:div>
        <w:div w:id="148525888">
          <w:marLeft w:val="0"/>
          <w:marRight w:val="0"/>
          <w:marTop w:val="0"/>
          <w:marBottom w:val="0"/>
          <w:divBdr>
            <w:top w:val="none" w:sz="0" w:space="0" w:color="auto"/>
            <w:left w:val="none" w:sz="0" w:space="0" w:color="auto"/>
            <w:bottom w:val="none" w:sz="0" w:space="0" w:color="auto"/>
            <w:right w:val="none" w:sz="0" w:space="0" w:color="auto"/>
          </w:divBdr>
        </w:div>
        <w:div w:id="222713432">
          <w:marLeft w:val="0"/>
          <w:marRight w:val="0"/>
          <w:marTop w:val="0"/>
          <w:marBottom w:val="0"/>
          <w:divBdr>
            <w:top w:val="none" w:sz="0" w:space="0" w:color="auto"/>
            <w:left w:val="none" w:sz="0" w:space="0" w:color="auto"/>
            <w:bottom w:val="none" w:sz="0" w:space="0" w:color="auto"/>
            <w:right w:val="none" w:sz="0" w:space="0" w:color="auto"/>
          </w:divBdr>
        </w:div>
        <w:div w:id="235751413">
          <w:marLeft w:val="0"/>
          <w:marRight w:val="0"/>
          <w:marTop w:val="0"/>
          <w:marBottom w:val="0"/>
          <w:divBdr>
            <w:top w:val="none" w:sz="0" w:space="0" w:color="auto"/>
            <w:left w:val="none" w:sz="0" w:space="0" w:color="auto"/>
            <w:bottom w:val="none" w:sz="0" w:space="0" w:color="auto"/>
            <w:right w:val="none" w:sz="0" w:space="0" w:color="auto"/>
          </w:divBdr>
        </w:div>
        <w:div w:id="303852541">
          <w:marLeft w:val="0"/>
          <w:marRight w:val="0"/>
          <w:marTop w:val="0"/>
          <w:marBottom w:val="0"/>
          <w:divBdr>
            <w:top w:val="none" w:sz="0" w:space="0" w:color="auto"/>
            <w:left w:val="none" w:sz="0" w:space="0" w:color="auto"/>
            <w:bottom w:val="none" w:sz="0" w:space="0" w:color="auto"/>
            <w:right w:val="none" w:sz="0" w:space="0" w:color="auto"/>
          </w:divBdr>
        </w:div>
        <w:div w:id="335429047">
          <w:marLeft w:val="0"/>
          <w:marRight w:val="0"/>
          <w:marTop w:val="0"/>
          <w:marBottom w:val="0"/>
          <w:divBdr>
            <w:top w:val="none" w:sz="0" w:space="0" w:color="auto"/>
            <w:left w:val="none" w:sz="0" w:space="0" w:color="auto"/>
            <w:bottom w:val="none" w:sz="0" w:space="0" w:color="auto"/>
            <w:right w:val="none" w:sz="0" w:space="0" w:color="auto"/>
          </w:divBdr>
        </w:div>
        <w:div w:id="338049203">
          <w:marLeft w:val="0"/>
          <w:marRight w:val="0"/>
          <w:marTop w:val="0"/>
          <w:marBottom w:val="0"/>
          <w:divBdr>
            <w:top w:val="none" w:sz="0" w:space="0" w:color="auto"/>
            <w:left w:val="none" w:sz="0" w:space="0" w:color="auto"/>
            <w:bottom w:val="none" w:sz="0" w:space="0" w:color="auto"/>
            <w:right w:val="none" w:sz="0" w:space="0" w:color="auto"/>
          </w:divBdr>
        </w:div>
        <w:div w:id="398478727">
          <w:marLeft w:val="0"/>
          <w:marRight w:val="0"/>
          <w:marTop w:val="0"/>
          <w:marBottom w:val="0"/>
          <w:divBdr>
            <w:top w:val="none" w:sz="0" w:space="0" w:color="auto"/>
            <w:left w:val="none" w:sz="0" w:space="0" w:color="auto"/>
            <w:bottom w:val="none" w:sz="0" w:space="0" w:color="auto"/>
            <w:right w:val="none" w:sz="0" w:space="0" w:color="auto"/>
          </w:divBdr>
        </w:div>
        <w:div w:id="413211610">
          <w:marLeft w:val="0"/>
          <w:marRight w:val="0"/>
          <w:marTop w:val="0"/>
          <w:marBottom w:val="0"/>
          <w:divBdr>
            <w:top w:val="none" w:sz="0" w:space="0" w:color="auto"/>
            <w:left w:val="none" w:sz="0" w:space="0" w:color="auto"/>
            <w:bottom w:val="none" w:sz="0" w:space="0" w:color="auto"/>
            <w:right w:val="none" w:sz="0" w:space="0" w:color="auto"/>
          </w:divBdr>
        </w:div>
        <w:div w:id="480923700">
          <w:marLeft w:val="0"/>
          <w:marRight w:val="0"/>
          <w:marTop w:val="0"/>
          <w:marBottom w:val="0"/>
          <w:divBdr>
            <w:top w:val="none" w:sz="0" w:space="0" w:color="auto"/>
            <w:left w:val="none" w:sz="0" w:space="0" w:color="auto"/>
            <w:bottom w:val="none" w:sz="0" w:space="0" w:color="auto"/>
            <w:right w:val="none" w:sz="0" w:space="0" w:color="auto"/>
          </w:divBdr>
        </w:div>
        <w:div w:id="519317882">
          <w:marLeft w:val="0"/>
          <w:marRight w:val="0"/>
          <w:marTop w:val="0"/>
          <w:marBottom w:val="0"/>
          <w:divBdr>
            <w:top w:val="none" w:sz="0" w:space="0" w:color="auto"/>
            <w:left w:val="none" w:sz="0" w:space="0" w:color="auto"/>
            <w:bottom w:val="none" w:sz="0" w:space="0" w:color="auto"/>
            <w:right w:val="none" w:sz="0" w:space="0" w:color="auto"/>
          </w:divBdr>
        </w:div>
        <w:div w:id="571744107">
          <w:marLeft w:val="0"/>
          <w:marRight w:val="0"/>
          <w:marTop w:val="0"/>
          <w:marBottom w:val="0"/>
          <w:divBdr>
            <w:top w:val="none" w:sz="0" w:space="0" w:color="auto"/>
            <w:left w:val="none" w:sz="0" w:space="0" w:color="auto"/>
            <w:bottom w:val="none" w:sz="0" w:space="0" w:color="auto"/>
            <w:right w:val="none" w:sz="0" w:space="0" w:color="auto"/>
          </w:divBdr>
        </w:div>
        <w:div w:id="584068503">
          <w:marLeft w:val="0"/>
          <w:marRight w:val="0"/>
          <w:marTop w:val="0"/>
          <w:marBottom w:val="0"/>
          <w:divBdr>
            <w:top w:val="none" w:sz="0" w:space="0" w:color="auto"/>
            <w:left w:val="none" w:sz="0" w:space="0" w:color="auto"/>
            <w:bottom w:val="none" w:sz="0" w:space="0" w:color="auto"/>
            <w:right w:val="none" w:sz="0" w:space="0" w:color="auto"/>
          </w:divBdr>
        </w:div>
        <w:div w:id="661590569">
          <w:marLeft w:val="0"/>
          <w:marRight w:val="0"/>
          <w:marTop w:val="0"/>
          <w:marBottom w:val="0"/>
          <w:divBdr>
            <w:top w:val="none" w:sz="0" w:space="0" w:color="auto"/>
            <w:left w:val="none" w:sz="0" w:space="0" w:color="auto"/>
            <w:bottom w:val="none" w:sz="0" w:space="0" w:color="auto"/>
            <w:right w:val="none" w:sz="0" w:space="0" w:color="auto"/>
          </w:divBdr>
        </w:div>
        <w:div w:id="679426239">
          <w:marLeft w:val="0"/>
          <w:marRight w:val="0"/>
          <w:marTop w:val="0"/>
          <w:marBottom w:val="0"/>
          <w:divBdr>
            <w:top w:val="none" w:sz="0" w:space="0" w:color="auto"/>
            <w:left w:val="none" w:sz="0" w:space="0" w:color="auto"/>
            <w:bottom w:val="none" w:sz="0" w:space="0" w:color="auto"/>
            <w:right w:val="none" w:sz="0" w:space="0" w:color="auto"/>
          </w:divBdr>
        </w:div>
        <w:div w:id="756364887">
          <w:marLeft w:val="0"/>
          <w:marRight w:val="0"/>
          <w:marTop w:val="0"/>
          <w:marBottom w:val="0"/>
          <w:divBdr>
            <w:top w:val="none" w:sz="0" w:space="0" w:color="auto"/>
            <w:left w:val="none" w:sz="0" w:space="0" w:color="auto"/>
            <w:bottom w:val="none" w:sz="0" w:space="0" w:color="auto"/>
            <w:right w:val="none" w:sz="0" w:space="0" w:color="auto"/>
          </w:divBdr>
        </w:div>
        <w:div w:id="814377747">
          <w:marLeft w:val="0"/>
          <w:marRight w:val="0"/>
          <w:marTop w:val="0"/>
          <w:marBottom w:val="0"/>
          <w:divBdr>
            <w:top w:val="none" w:sz="0" w:space="0" w:color="auto"/>
            <w:left w:val="none" w:sz="0" w:space="0" w:color="auto"/>
            <w:bottom w:val="none" w:sz="0" w:space="0" w:color="auto"/>
            <w:right w:val="none" w:sz="0" w:space="0" w:color="auto"/>
          </w:divBdr>
        </w:div>
        <w:div w:id="831877432">
          <w:marLeft w:val="0"/>
          <w:marRight w:val="0"/>
          <w:marTop w:val="0"/>
          <w:marBottom w:val="0"/>
          <w:divBdr>
            <w:top w:val="none" w:sz="0" w:space="0" w:color="auto"/>
            <w:left w:val="none" w:sz="0" w:space="0" w:color="auto"/>
            <w:bottom w:val="none" w:sz="0" w:space="0" w:color="auto"/>
            <w:right w:val="none" w:sz="0" w:space="0" w:color="auto"/>
          </w:divBdr>
        </w:div>
        <w:div w:id="869218661">
          <w:marLeft w:val="0"/>
          <w:marRight w:val="0"/>
          <w:marTop w:val="0"/>
          <w:marBottom w:val="0"/>
          <w:divBdr>
            <w:top w:val="none" w:sz="0" w:space="0" w:color="auto"/>
            <w:left w:val="none" w:sz="0" w:space="0" w:color="auto"/>
            <w:bottom w:val="none" w:sz="0" w:space="0" w:color="auto"/>
            <w:right w:val="none" w:sz="0" w:space="0" w:color="auto"/>
          </w:divBdr>
        </w:div>
        <w:div w:id="883054680">
          <w:marLeft w:val="0"/>
          <w:marRight w:val="0"/>
          <w:marTop w:val="0"/>
          <w:marBottom w:val="0"/>
          <w:divBdr>
            <w:top w:val="none" w:sz="0" w:space="0" w:color="auto"/>
            <w:left w:val="none" w:sz="0" w:space="0" w:color="auto"/>
            <w:bottom w:val="none" w:sz="0" w:space="0" w:color="auto"/>
            <w:right w:val="none" w:sz="0" w:space="0" w:color="auto"/>
          </w:divBdr>
        </w:div>
        <w:div w:id="931817911">
          <w:marLeft w:val="0"/>
          <w:marRight w:val="0"/>
          <w:marTop w:val="0"/>
          <w:marBottom w:val="0"/>
          <w:divBdr>
            <w:top w:val="none" w:sz="0" w:space="0" w:color="auto"/>
            <w:left w:val="none" w:sz="0" w:space="0" w:color="auto"/>
            <w:bottom w:val="none" w:sz="0" w:space="0" w:color="auto"/>
            <w:right w:val="none" w:sz="0" w:space="0" w:color="auto"/>
          </w:divBdr>
        </w:div>
        <w:div w:id="943075634">
          <w:marLeft w:val="0"/>
          <w:marRight w:val="0"/>
          <w:marTop w:val="0"/>
          <w:marBottom w:val="0"/>
          <w:divBdr>
            <w:top w:val="none" w:sz="0" w:space="0" w:color="auto"/>
            <w:left w:val="none" w:sz="0" w:space="0" w:color="auto"/>
            <w:bottom w:val="none" w:sz="0" w:space="0" w:color="auto"/>
            <w:right w:val="none" w:sz="0" w:space="0" w:color="auto"/>
          </w:divBdr>
        </w:div>
        <w:div w:id="955600891">
          <w:marLeft w:val="0"/>
          <w:marRight w:val="0"/>
          <w:marTop w:val="0"/>
          <w:marBottom w:val="0"/>
          <w:divBdr>
            <w:top w:val="none" w:sz="0" w:space="0" w:color="auto"/>
            <w:left w:val="none" w:sz="0" w:space="0" w:color="auto"/>
            <w:bottom w:val="none" w:sz="0" w:space="0" w:color="auto"/>
            <w:right w:val="none" w:sz="0" w:space="0" w:color="auto"/>
          </w:divBdr>
        </w:div>
        <w:div w:id="1039474096">
          <w:marLeft w:val="0"/>
          <w:marRight w:val="0"/>
          <w:marTop w:val="0"/>
          <w:marBottom w:val="0"/>
          <w:divBdr>
            <w:top w:val="none" w:sz="0" w:space="0" w:color="auto"/>
            <w:left w:val="none" w:sz="0" w:space="0" w:color="auto"/>
            <w:bottom w:val="none" w:sz="0" w:space="0" w:color="auto"/>
            <w:right w:val="none" w:sz="0" w:space="0" w:color="auto"/>
          </w:divBdr>
        </w:div>
        <w:div w:id="1057170991">
          <w:marLeft w:val="0"/>
          <w:marRight w:val="0"/>
          <w:marTop w:val="0"/>
          <w:marBottom w:val="0"/>
          <w:divBdr>
            <w:top w:val="none" w:sz="0" w:space="0" w:color="auto"/>
            <w:left w:val="none" w:sz="0" w:space="0" w:color="auto"/>
            <w:bottom w:val="none" w:sz="0" w:space="0" w:color="auto"/>
            <w:right w:val="none" w:sz="0" w:space="0" w:color="auto"/>
          </w:divBdr>
        </w:div>
        <w:div w:id="1078749450">
          <w:marLeft w:val="0"/>
          <w:marRight w:val="0"/>
          <w:marTop w:val="0"/>
          <w:marBottom w:val="0"/>
          <w:divBdr>
            <w:top w:val="none" w:sz="0" w:space="0" w:color="auto"/>
            <w:left w:val="none" w:sz="0" w:space="0" w:color="auto"/>
            <w:bottom w:val="none" w:sz="0" w:space="0" w:color="auto"/>
            <w:right w:val="none" w:sz="0" w:space="0" w:color="auto"/>
          </w:divBdr>
        </w:div>
        <w:div w:id="1079475012">
          <w:marLeft w:val="0"/>
          <w:marRight w:val="0"/>
          <w:marTop w:val="0"/>
          <w:marBottom w:val="0"/>
          <w:divBdr>
            <w:top w:val="none" w:sz="0" w:space="0" w:color="auto"/>
            <w:left w:val="none" w:sz="0" w:space="0" w:color="auto"/>
            <w:bottom w:val="none" w:sz="0" w:space="0" w:color="auto"/>
            <w:right w:val="none" w:sz="0" w:space="0" w:color="auto"/>
          </w:divBdr>
        </w:div>
        <w:div w:id="1088649242">
          <w:marLeft w:val="0"/>
          <w:marRight w:val="0"/>
          <w:marTop w:val="0"/>
          <w:marBottom w:val="0"/>
          <w:divBdr>
            <w:top w:val="none" w:sz="0" w:space="0" w:color="auto"/>
            <w:left w:val="none" w:sz="0" w:space="0" w:color="auto"/>
            <w:bottom w:val="none" w:sz="0" w:space="0" w:color="auto"/>
            <w:right w:val="none" w:sz="0" w:space="0" w:color="auto"/>
          </w:divBdr>
        </w:div>
        <w:div w:id="1151409217">
          <w:marLeft w:val="0"/>
          <w:marRight w:val="0"/>
          <w:marTop w:val="0"/>
          <w:marBottom w:val="0"/>
          <w:divBdr>
            <w:top w:val="none" w:sz="0" w:space="0" w:color="auto"/>
            <w:left w:val="none" w:sz="0" w:space="0" w:color="auto"/>
            <w:bottom w:val="none" w:sz="0" w:space="0" w:color="auto"/>
            <w:right w:val="none" w:sz="0" w:space="0" w:color="auto"/>
          </w:divBdr>
        </w:div>
        <w:div w:id="1376659909">
          <w:marLeft w:val="0"/>
          <w:marRight w:val="0"/>
          <w:marTop w:val="0"/>
          <w:marBottom w:val="0"/>
          <w:divBdr>
            <w:top w:val="none" w:sz="0" w:space="0" w:color="auto"/>
            <w:left w:val="none" w:sz="0" w:space="0" w:color="auto"/>
            <w:bottom w:val="none" w:sz="0" w:space="0" w:color="auto"/>
            <w:right w:val="none" w:sz="0" w:space="0" w:color="auto"/>
          </w:divBdr>
        </w:div>
        <w:div w:id="1384787380">
          <w:marLeft w:val="0"/>
          <w:marRight w:val="0"/>
          <w:marTop w:val="0"/>
          <w:marBottom w:val="0"/>
          <w:divBdr>
            <w:top w:val="none" w:sz="0" w:space="0" w:color="auto"/>
            <w:left w:val="none" w:sz="0" w:space="0" w:color="auto"/>
            <w:bottom w:val="none" w:sz="0" w:space="0" w:color="auto"/>
            <w:right w:val="none" w:sz="0" w:space="0" w:color="auto"/>
          </w:divBdr>
        </w:div>
        <w:div w:id="1524785084">
          <w:marLeft w:val="0"/>
          <w:marRight w:val="0"/>
          <w:marTop w:val="0"/>
          <w:marBottom w:val="0"/>
          <w:divBdr>
            <w:top w:val="none" w:sz="0" w:space="0" w:color="auto"/>
            <w:left w:val="none" w:sz="0" w:space="0" w:color="auto"/>
            <w:bottom w:val="none" w:sz="0" w:space="0" w:color="auto"/>
            <w:right w:val="none" w:sz="0" w:space="0" w:color="auto"/>
          </w:divBdr>
        </w:div>
        <w:div w:id="1579905653">
          <w:marLeft w:val="0"/>
          <w:marRight w:val="0"/>
          <w:marTop w:val="0"/>
          <w:marBottom w:val="0"/>
          <w:divBdr>
            <w:top w:val="none" w:sz="0" w:space="0" w:color="auto"/>
            <w:left w:val="none" w:sz="0" w:space="0" w:color="auto"/>
            <w:bottom w:val="none" w:sz="0" w:space="0" w:color="auto"/>
            <w:right w:val="none" w:sz="0" w:space="0" w:color="auto"/>
          </w:divBdr>
        </w:div>
        <w:div w:id="1582712767">
          <w:marLeft w:val="0"/>
          <w:marRight w:val="0"/>
          <w:marTop w:val="0"/>
          <w:marBottom w:val="0"/>
          <w:divBdr>
            <w:top w:val="none" w:sz="0" w:space="0" w:color="auto"/>
            <w:left w:val="none" w:sz="0" w:space="0" w:color="auto"/>
            <w:bottom w:val="none" w:sz="0" w:space="0" w:color="auto"/>
            <w:right w:val="none" w:sz="0" w:space="0" w:color="auto"/>
          </w:divBdr>
        </w:div>
        <w:div w:id="1627152235">
          <w:marLeft w:val="0"/>
          <w:marRight w:val="0"/>
          <w:marTop w:val="0"/>
          <w:marBottom w:val="0"/>
          <w:divBdr>
            <w:top w:val="none" w:sz="0" w:space="0" w:color="auto"/>
            <w:left w:val="none" w:sz="0" w:space="0" w:color="auto"/>
            <w:bottom w:val="none" w:sz="0" w:space="0" w:color="auto"/>
            <w:right w:val="none" w:sz="0" w:space="0" w:color="auto"/>
          </w:divBdr>
        </w:div>
        <w:div w:id="1633827678">
          <w:marLeft w:val="0"/>
          <w:marRight w:val="0"/>
          <w:marTop w:val="0"/>
          <w:marBottom w:val="0"/>
          <w:divBdr>
            <w:top w:val="none" w:sz="0" w:space="0" w:color="auto"/>
            <w:left w:val="none" w:sz="0" w:space="0" w:color="auto"/>
            <w:bottom w:val="none" w:sz="0" w:space="0" w:color="auto"/>
            <w:right w:val="none" w:sz="0" w:space="0" w:color="auto"/>
          </w:divBdr>
        </w:div>
        <w:div w:id="1669560145">
          <w:marLeft w:val="0"/>
          <w:marRight w:val="0"/>
          <w:marTop w:val="0"/>
          <w:marBottom w:val="0"/>
          <w:divBdr>
            <w:top w:val="none" w:sz="0" w:space="0" w:color="auto"/>
            <w:left w:val="none" w:sz="0" w:space="0" w:color="auto"/>
            <w:bottom w:val="none" w:sz="0" w:space="0" w:color="auto"/>
            <w:right w:val="none" w:sz="0" w:space="0" w:color="auto"/>
          </w:divBdr>
        </w:div>
        <w:div w:id="1679117458">
          <w:marLeft w:val="0"/>
          <w:marRight w:val="0"/>
          <w:marTop w:val="0"/>
          <w:marBottom w:val="0"/>
          <w:divBdr>
            <w:top w:val="none" w:sz="0" w:space="0" w:color="auto"/>
            <w:left w:val="none" w:sz="0" w:space="0" w:color="auto"/>
            <w:bottom w:val="none" w:sz="0" w:space="0" w:color="auto"/>
            <w:right w:val="none" w:sz="0" w:space="0" w:color="auto"/>
          </w:divBdr>
        </w:div>
        <w:div w:id="1709915489">
          <w:marLeft w:val="0"/>
          <w:marRight w:val="0"/>
          <w:marTop w:val="0"/>
          <w:marBottom w:val="0"/>
          <w:divBdr>
            <w:top w:val="none" w:sz="0" w:space="0" w:color="auto"/>
            <w:left w:val="none" w:sz="0" w:space="0" w:color="auto"/>
            <w:bottom w:val="none" w:sz="0" w:space="0" w:color="auto"/>
            <w:right w:val="none" w:sz="0" w:space="0" w:color="auto"/>
          </w:divBdr>
        </w:div>
        <w:div w:id="1732650609">
          <w:marLeft w:val="0"/>
          <w:marRight w:val="0"/>
          <w:marTop w:val="0"/>
          <w:marBottom w:val="0"/>
          <w:divBdr>
            <w:top w:val="none" w:sz="0" w:space="0" w:color="auto"/>
            <w:left w:val="none" w:sz="0" w:space="0" w:color="auto"/>
            <w:bottom w:val="none" w:sz="0" w:space="0" w:color="auto"/>
            <w:right w:val="none" w:sz="0" w:space="0" w:color="auto"/>
          </w:divBdr>
        </w:div>
        <w:div w:id="1750275259">
          <w:marLeft w:val="0"/>
          <w:marRight w:val="0"/>
          <w:marTop w:val="0"/>
          <w:marBottom w:val="0"/>
          <w:divBdr>
            <w:top w:val="none" w:sz="0" w:space="0" w:color="auto"/>
            <w:left w:val="none" w:sz="0" w:space="0" w:color="auto"/>
            <w:bottom w:val="none" w:sz="0" w:space="0" w:color="auto"/>
            <w:right w:val="none" w:sz="0" w:space="0" w:color="auto"/>
          </w:divBdr>
        </w:div>
        <w:div w:id="1841659376">
          <w:marLeft w:val="0"/>
          <w:marRight w:val="0"/>
          <w:marTop w:val="0"/>
          <w:marBottom w:val="0"/>
          <w:divBdr>
            <w:top w:val="none" w:sz="0" w:space="0" w:color="auto"/>
            <w:left w:val="none" w:sz="0" w:space="0" w:color="auto"/>
            <w:bottom w:val="none" w:sz="0" w:space="0" w:color="auto"/>
            <w:right w:val="none" w:sz="0" w:space="0" w:color="auto"/>
          </w:divBdr>
        </w:div>
        <w:div w:id="1843620774">
          <w:marLeft w:val="0"/>
          <w:marRight w:val="0"/>
          <w:marTop w:val="0"/>
          <w:marBottom w:val="0"/>
          <w:divBdr>
            <w:top w:val="none" w:sz="0" w:space="0" w:color="auto"/>
            <w:left w:val="none" w:sz="0" w:space="0" w:color="auto"/>
            <w:bottom w:val="none" w:sz="0" w:space="0" w:color="auto"/>
            <w:right w:val="none" w:sz="0" w:space="0" w:color="auto"/>
          </w:divBdr>
        </w:div>
        <w:div w:id="1870488026">
          <w:marLeft w:val="0"/>
          <w:marRight w:val="0"/>
          <w:marTop w:val="0"/>
          <w:marBottom w:val="0"/>
          <w:divBdr>
            <w:top w:val="none" w:sz="0" w:space="0" w:color="auto"/>
            <w:left w:val="none" w:sz="0" w:space="0" w:color="auto"/>
            <w:bottom w:val="none" w:sz="0" w:space="0" w:color="auto"/>
            <w:right w:val="none" w:sz="0" w:space="0" w:color="auto"/>
          </w:divBdr>
        </w:div>
        <w:div w:id="1905873034">
          <w:marLeft w:val="0"/>
          <w:marRight w:val="0"/>
          <w:marTop w:val="0"/>
          <w:marBottom w:val="0"/>
          <w:divBdr>
            <w:top w:val="none" w:sz="0" w:space="0" w:color="auto"/>
            <w:left w:val="none" w:sz="0" w:space="0" w:color="auto"/>
            <w:bottom w:val="none" w:sz="0" w:space="0" w:color="auto"/>
            <w:right w:val="none" w:sz="0" w:space="0" w:color="auto"/>
          </w:divBdr>
        </w:div>
        <w:div w:id="1943148984">
          <w:marLeft w:val="0"/>
          <w:marRight w:val="0"/>
          <w:marTop w:val="0"/>
          <w:marBottom w:val="0"/>
          <w:divBdr>
            <w:top w:val="none" w:sz="0" w:space="0" w:color="auto"/>
            <w:left w:val="none" w:sz="0" w:space="0" w:color="auto"/>
            <w:bottom w:val="none" w:sz="0" w:space="0" w:color="auto"/>
            <w:right w:val="none" w:sz="0" w:space="0" w:color="auto"/>
          </w:divBdr>
        </w:div>
        <w:div w:id="2010865802">
          <w:marLeft w:val="0"/>
          <w:marRight w:val="0"/>
          <w:marTop w:val="0"/>
          <w:marBottom w:val="0"/>
          <w:divBdr>
            <w:top w:val="none" w:sz="0" w:space="0" w:color="auto"/>
            <w:left w:val="none" w:sz="0" w:space="0" w:color="auto"/>
            <w:bottom w:val="none" w:sz="0" w:space="0" w:color="auto"/>
            <w:right w:val="none" w:sz="0" w:space="0" w:color="auto"/>
          </w:divBdr>
        </w:div>
        <w:div w:id="2011059633">
          <w:marLeft w:val="0"/>
          <w:marRight w:val="0"/>
          <w:marTop w:val="0"/>
          <w:marBottom w:val="0"/>
          <w:divBdr>
            <w:top w:val="none" w:sz="0" w:space="0" w:color="auto"/>
            <w:left w:val="none" w:sz="0" w:space="0" w:color="auto"/>
            <w:bottom w:val="none" w:sz="0" w:space="0" w:color="auto"/>
            <w:right w:val="none" w:sz="0" w:space="0" w:color="auto"/>
          </w:divBdr>
        </w:div>
        <w:div w:id="2052680543">
          <w:marLeft w:val="0"/>
          <w:marRight w:val="0"/>
          <w:marTop w:val="0"/>
          <w:marBottom w:val="0"/>
          <w:divBdr>
            <w:top w:val="none" w:sz="0" w:space="0" w:color="auto"/>
            <w:left w:val="none" w:sz="0" w:space="0" w:color="auto"/>
            <w:bottom w:val="none" w:sz="0" w:space="0" w:color="auto"/>
            <w:right w:val="none" w:sz="0" w:space="0" w:color="auto"/>
          </w:divBdr>
        </w:div>
        <w:div w:id="2124882747">
          <w:marLeft w:val="0"/>
          <w:marRight w:val="0"/>
          <w:marTop w:val="0"/>
          <w:marBottom w:val="0"/>
          <w:divBdr>
            <w:top w:val="none" w:sz="0" w:space="0" w:color="auto"/>
            <w:left w:val="none" w:sz="0" w:space="0" w:color="auto"/>
            <w:bottom w:val="none" w:sz="0" w:space="0" w:color="auto"/>
            <w:right w:val="none" w:sz="0" w:space="0" w:color="auto"/>
          </w:divBdr>
        </w:div>
      </w:divsChild>
    </w:div>
    <w:div w:id="2117407809">
      <w:bodyDiv w:val="1"/>
      <w:marLeft w:val="0"/>
      <w:marRight w:val="0"/>
      <w:marTop w:val="0"/>
      <w:marBottom w:val="0"/>
      <w:divBdr>
        <w:top w:val="none" w:sz="0" w:space="0" w:color="auto"/>
        <w:left w:val="none" w:sz="0" w:space="0" w:color="auto"/>
        <w:bottom w:val="none" w:sz="0" w:space="0" w:color="auto"/>
        <w:right w:val="none" w:sz="0" w:space="0" w:color="auto"/>
      </w:divBdr>
      <w:divsChild>
        <w:div w:id="94981817">
          <w:marLeft w:val="0"/>
          <w:marRight w:val="0"/>
          <w:marTop w:val="0"/>
          <w:marBottom w:val="0"/>
          <w:divBdr>
            <w:top w:val="none" w:sz="0" w:space="0" w:color="auto"/>
            <w:left w:val="none" w:sz="0" w:space="0" w:color="auto"/>
            <w:bottom w:val="none" w:sz="0" w:space="0" w:color="auto"/>
            <w:right w:val="none" w:sz="0" w:space="0" w:color="auto"/>
          </w:divBdr>
        </w:div>
        <w:div w:id="154687649">
          <w:marLeft w:val="0"/>
          <w:marRight w:val="0"/>
          <w:marTop w:val="0"/>
          <w:marBottom w:val="0"/>
          <w:divBdr>
            <w:top w:val="none" w:sz="0" w:space="0" w:color="auto"/>
            <w:left w:val="none" w:sz="0" w:space="0" w:color="auto"/>
            <w:bottom w:val="none" w:sz="0" w:space="0" w:color="auto"/>
            <w:right w:val="none" w:sz="0" w:space="0" w:color="auto"/>
          </w:divBdr>
        </w:div>
        <w:div w:id="249430534">
          <w:marLeft w:val="0"/>
          <w:marRight w:val="0"/>
          <w:marTop w:val="0"/>
          <w:marBottom w:val="0"/>
          <w:divBdr>
            <w:top w:val="none" w:sz="0" w:space="0" w:color="auto"/>
            <w:left w:val="none" w:sz="0" w:space="0" w:color="auto"/>
            <w:bottom w:val="none" w:sz="0" w:space="0" w:color="auto"/>
            <w:right w:val="none" w:sz="0" w:space="0" w:color="auto"/>
          </w:divBdr>
        </w:div>
        <w:div w:id="395517349">
          <w:marLeft w:val="0"/>
          <w:marRight w:val="0"/>
          <w:marTop w:val="0"/>
          <w:marBottom w:val="0"/>
          <w:divBdr>
            <w:top w:val="none" w:sz="0" w:space="0" w:color="auto"/>
            <w:left w:val="none" w:sz="0" w:space="0" w:color="auto"/>
            <w:bottom w:val="none" w:sz="0" w:space="0" w:color="auto"/>
            <w:right w:val="none" w:sz="0" w:space="0" w:color="auto"/>
          </w:divBdr>
        </w:div>
        <w:div w:id="536700569">
          <w:marLeft w:val="0"/>
          <w:marRight w:val="0"/>
          <w:marTop w:val="0"/>
          <w:marBottom w:val="0"/>
          <w:divBdr>
            <w:top w:val="none" w:sz="0" w:space="0" w:color="auto"/>
            <w:left w:val="none" w:sz="0" w:space="0" w:color="auto"/>
            <w:bottom w:val="none" w:sz="0" w:space="0" w:color="auto"/>
            <w:right w:val="none" w:sz="0" w:space="0" w:color="auto"/>
          </w:divBdr>
        </w:div>
        <w:div w:id="541014451">
          <w:marLeft w:val="0"/>
          <w:marRight w:val="0"/>
          <w:marTop w:val="0"/>
          <w:marBottom w:val="0"/>
          <w:divBdr>
            <w:top w:val="none" w:sz="0" w:space="0" w:color="auto"/>
            <w:left w:val="none" w:sz="0" w:space="0" w:color="auto"/>
            <w:bottom w:val="none" w:sz="0" w:space="0" w:color="auto"/>
            <w:right w:val="none" w:sz="0" w:space="0" w:color="auto"/>
          </w:divBdr>
        </w:div>
        <w:div w:id="563151023">
          <w:marLeft w:val="0"/>
          <w:marRight w:val="0"/>
          <w:marTop w:val="0"/>
          <w:marBottom w:val="0"/>
          <w:divBdr>
            <w:top w:val="none" w:sz="0" w:space="0" w:color="auto"/>
            <w:left w:val="none" w:sz="0" w:space="0" w:color="auto"/>
            <w:bottom w:val="none" w:sz="0" w:space="0" w:color="auto"/>
            <w:right w:val="none" w:sz="0" w:space="0" w:color="auto"/>
          </w:divBdr>
        </w:div>
        <w:div w:id="582032377">
          <w:marLeft w:val="0"/>
          <w:marRight w:val="0"/>
          <w:marTop w:val="0"/>
          <w:marBottom w:val="0"/>
          <w:divBdr>
            <w:top w:val="none" w:sz="0" w:space="0" w:color="auto"/>
            <w:left w:val="none" w:sz="0" w:space="0" w:color="auto"/>
            <w:bottom w:val="none" w:sz="0" w:space="0" w:color="auto"/>
            <w:right w:val="none" w:sz="0" w:space="0" w:color="auto"/>
          </w:divBdr>
        </w:div>
        <w:div w:id="617950530">
          <w:marLeft w:val="0"/>
          <w:marRight w:val="0"/>
          <w:marTop w:val="0"/>
          <w:marBottom w:val="0"/>
          <w:divBdr>
            <w:top w:val="none" w:sz="0" w:space="0" w:color="auto"/>
            <w:left w:val="none" w:sz="0" w:space="0" w:color="auto"/>
            <w:bottom w:val="none" w:sz="0" w:space="0" w:color="auto"/>
            <w:right w:val="none" w:sz="0" w:space="0" w:color="auto"/>
          </w:divBdr>
        </w:div>
        <w:div w:id="645399096">
          <w:marLeft w:val="0"/>
          <w:marRight w:val="0"/>
          <w:marTop w:val="0"/>
          <w:marBottom w:val="0"/>
          <w:divBdr>
            <w:top w:val="none" w:sz="0" w:space="0" w:color="auto"/>
            <w:left w:val="none" w:sz="0" w:space="0" w:color="auto"/>
            <w:bottom w:val="none" w:sz="0" w:space="0" w:color="auto"/>
            <w:right w:val="none" w:sz="0" w:space="0" w:color="auto"/>
          </w:divBdr>
        </w:div>
        <w:div w:id="669214756">
          <w:marLeft w:val="0"/>
          <w:marRight w:val="0"/>
          <w:marTop w:val="0"/>
          <w:marBottom w:val="0"/>
          <w:divBdr>
            <w:top w:val="none" w:sz="0" w:space="0" w:color="auto"/>
            <w:left w:val="none" w:sz="0" w:space="0" w:color="auto"/>
            <w:bottom w:val="none" w:sz="0" w:space="0" w:color="auto"/>
            <w:right w:val="none" w:sz="0" w:space="0" w:color="auto"/>
          </w:divBdr>
        </w:div>
        <w:div w:id="718239561">
          <w:marLeft w:val="0"/>
          <w:marRight w:val="0"/>
          <w:marTop w:val="0"/>
          <w:marBottom w:val="0"/>
          <w:divBdr>
            <w:top w:val="none" w:sz="0" w:space="0" w:color="auto"/>
            <w:left w:val="none" w:sz="0" w:space="0" w:color="auto"/>
            <w:bottom w:val="none" w:sz="0" w:space="0" w:color="auto"/>
            <w:right w:val="none" w:sz="0" w:space="0" w:color="auto"/>
          </w:divBdr>
        </w:div>
        <w:div w:id="719790691">
          <w:marLeft w:val="0"/>
          <w:marRight w:val="0"/>
          <w:marTop w:val="0"/>
          <w:marBottom w:val="0"/>
          <w:divBdr>
            <w:top w:val="none" w:sz="0" w:space="0" w:color="auto"/>
            <w:left w:val="none" w:sz="0" w:space="0" w:color="auto"/>
            <w:bottom w:val="none" w:sz="0" w:space="0" w:color="auto"/>
            <w:right w:val="none" w:sz="0" w:space="0" w:color="auto"/>
          </w:divBdr>
        </w:div>
        <w:div w:id="776214293">
          <w:marLeft w:val="0"/>
          <w:marRight w:val="0"/>
          <w:marTop w:val="0"/>
          <w:marBottom w:val="0"/>
          <w:divBdr>
            <w:top w:val="none" w:sz="0" w:space="0" w:color="auto"/>
            <w:left w:val="none" w:sz="0" w:space="0" w:color="auto"/>
            <w:bottom w:val="none" w:sz="0" w:space="0" w:color="auto"/>
            <w:right w:val="none" w:sz="0" w:space="0" w:color="auto"/>
          </w:divBdr>
        </w:div>
        <w:div w:id="778835568">
          <w:marLeft w:val="0"/>
          <w:marRight w:val="0"/>
          <w:marTop w:val="0"/>
          <w:marBottom w:val="0"/>
          <w:divBdr>
            <w:top w:val="none" w:sz="0" w:space="0" w:color="auto"/>
            <w:left w:val="none" w:sz="0" w:space="0" w:color="auto"/>
            <w:bottom w:val="none" w:sz="0" w:space="0" w:color="auto"/>
            <w:right w:val="none" w:sz="0" w:space="0" w:color="auto"/>
          </w:divBdr>
        </w:div>
        <w:div w:id="829829060">
          <w:marLeft w:val="0"/>
          <w:marRight w:val="0"/>
          <w:marTop w:val="0"/>
          <w:marBottom w:val="0"/>
          <w:divBdr>
            <w:top w:val="none" w:sz="0" w:space="0" w:color="auto"/>
            <w:left w:val="none" w:sz="0" w:space="0" w:color="auto"/>
            <w:bottom w:val="none" w:sz="0" w:space="0" w:color="auto"/>
            <w:right w:val="none" w:sz="0" w:space="0" w:color="auto"/>
          </w:divBdr>
        </w:div>
        <w:div w:id="852841519">
          <w:marLeft w:val="0"/>
          <w:marRight w:val="0"/>
          <w:marTop w:val="0"/>
          <w:marBottom w:val="0"/>
          <w:divBdr>
            <w:top w:val="none" w:sz="0" w:space="0" w:color="auto"/>
            <w:left w:val="none" w:sz="0" w:space="0" w:color="auto"/>
            <w:bottom w:val="none" w:sz="0" w:space="0" w:color="auto"/>
            <w:right w:val="none" w:sz="0" w:space="0" w:color="auto"/>
          </w:divBdr>
        </w:div>
        <w:div w:id="871575638">
          <w:marLeft w:val="0"/>
          <w:marRight w:val="0"/>
          <w:marTop w:val="0"/>
          <w:marBottom w:val="0"/>
          <w:divBdr>
            <w:top w:val="none" w:sz="0" w:space="0" w:color="auto"/>
            <w:left w:val="none" w:sz="0" w:space="0" w:color="auto"/>
            <w:bottom w:val="none" w:sz="0" w:space="0" w:color="auto"/>
            <w:right w:val="none" w:sz="0" w:space="0" w:color="auto"/>
          </w:divBdr>
        </w:div>
        <w:div w:id="956985223">
          <w:marLeft w:val="0"/>
          <w:marRight w:val="0"/>
          <w:marTop w:val="0"/>
          <w:marBottom w:val="0"/>
          <w:divBdr>
            <w:top w:val="none" w:sz="0" w:space="0" w:color="auto"/>
            <w:left w:val="none" w:sz="0" w:space="0" w:color="auto"/>
            <w:bottom w:val="none" w:sz="0" w:space="0" w:color="auto"/>
            <w:right w:val="none" w:sz="0" w:space="0" w:color="auto"/>
          </w:divBdr>
        </w:div>
        <w:div w:id="975139669">
          <w:marLeft w:val="0"/>
          <w:marRight w:val="0"/>
          <w:marTop w:val="0"/>
          <w:marBottom w:val="0"/>
          <w:divBdr>
            <w:top w:val="none" w:sz="0" w:space="0" w:color="auto"/>
            <w:left w:val="none" w:sz="0" w:space="0" w:color="auto"/>
            <w:bottom w:val="none" w:sz="0" w:space="0" w:color="auto"/>
            <w:right w:val="none" w:sz="0" w:space="0" w:color="auto"/>
          </w:divBdr>
        </w:div>
        <w:div w:id="1015107894">
          <w:marLeft w:val="0"/>
          <w:marRight w:val="0"/>
          <w:marTop w:val="0"/>
          <w:marBottom w:val="0"/>
          <w:divBdr>
            <w:top w:val="none" w:sz="0" w:space="0" w:color="auto"/>
            <w:left w:val="none" w:sz="0" w:space="0" w:color="auto"/>
            <w:bottom w:val="none" w:sz="0" w:space="0" w:color="auto"/>
            <w:right w:val="none" w:sz="0" w:space="0" w:color="auto"/>
          </w:divBdr>
        </w:div>
        <w:div w:id="1038967423">
          <w:marLeft w:val="0"/>
          <w:marRight w:val="0"/>
          <w:marTop w:val="0"/>
          <w:marBottom w:val="0"/>
          <w:divBdr>
            <w:top w:val="none" w:sz="0" w:space="0" w:color="auto"/>
            <w:left w:val="none" w:sz="0" w:space="0" w:color="auto"/>
            <w:bottom w:val="none" w:sz="0" w:space="0" w:color="auto"/>
            <w:right w:val="none" w:sz="0" w:space="0" w:color="auto"/>
          </w:divBdr>
        </w:div>
        <w:div w:id="1124346032">
          <w:marLeft w:val="0"/>
          <w:marRight w:val="0"/>
          <w:marTop w:val="0"/>
          <w:marBottom w:val="0"/>
          <w:divBdr>
            <w:top w:val="none" w:sz="0" w:space="0" w:color="auto"/>
            <w:left w:val="none" w:sz="0" w:space="0" w:color="auto"/>
            <w:bottom w:val="none" w:sz="0" w:space="0" w:color="auto"/>
            <w:right w:val="none" w:sz="0" w:space="0" w:color="auto"/>
          </w:divBdr>
        </w:div>
        <w:div w:id="1269970767">
          <w:marLeft w:val="0"/>
          <w:marRight w:val="0"/>
          <w:marTop w:val="0"/>
          <w:marBottom w:val="0"/>
          <w:divBdr>
            <w:top w:val="none" w:sz="0" w:space="0" w:color="auto"/>
            <w:left w:val="none" w:sz="0" w:space="0" w:color="auto"/>
            <w:bottom w:val="none" w:sz="0" w:space="0" w:color="auto"/>
            <w:right w:val="none" w:sz="0" w:space="0" w:color="auto"/>
          </w:divBdr>
        </w:div>
        <w:div w:id="1275207996">
          <w:marLeft w:val="0"/>
          <w:marRight w:val="0"/>
          <w:marTop w:val="0"/>
          <w:marBottom w:val="0"/>
          <w:divBdr>
            <w:top w:val="none" w:sz="0" w:space="0" w:color="auto"/>
            <w:left w:val="none" w:sz="0" w:space="0" w:color="auto"/>
            <w:bottom w:val="none" w:sz="0" w:space="0" w:color="auto"/>
            <w:right w:val="none" w:sz="0" w:space="0" w:color="auto"/>
          </w:divBdr>
        </w:div>
        <w:div w:id="1282153984">
          <w:marLeft w:val="0"/>
          <w:marRight w:val="0"/>
          <w:marTop w:val="0"/>
          <w:marBottom w:val="0"/>
          <w:divBdr>
            <w:top w:val="none" w:sz="0" w:space="0" w:color="auto"/>
            <w:left w:val="none" w:sz="0" w:space="0" w:color="auto"/>
            <w:bottom w:val="none" w:sz="0" w:space="0" w:color="auto"/>
            <w:right w:val="none" w:sz="0" w:space="0" w:color="auto"/>
          </w:divBdr>
        </w:div>
        <w:div w:id="1354109905">
          <w:marLeft w:val="0"/>
          <w:marRight w:val="0"/>
          <w:marTop w:val="0"/>
          <w:marBottom w:val="0"/>
          <w:divBdr>
            <w:top w:val="none" w:sz="0" w:space="0" w:color="auto"/>
            <w:left w:val="none" w:sz="0" w:space="0" w:color="auto"/>
            <w:bottom w:val="none" w:sz="0" w:space="0" w:color="auto"/>
            <w:right w:val="none" w:sz="0" w:space="0" w:color="auto"/>
          </w:divBdr>
        </w:div>
        <w:div w:id="1355576521">
          <w:marLeft w:val="0"/>
          <w:marRight w:val="0"/>
          <w:marTop w:val="0"/>
          <w:marBottom w:val="0"/>
          <w:divBdr>
            <w:top w:val="none" w:sz="0" w:space="0" w:color="auto"/>
            <w:left w:val="none" w:sz="0" w:space="0" w:color="auto"/>
            <w:bottom w:val="none" w:sz="0" w:space="0" w:color="auto"/>
            <w:right w:val="none" w:sz="0" w:space="0" w:color="auto"/>
          </w:divBdr>
        </w:div>
        <w:div w:id="1456408678">
          <w:marLeft w:val="0"/>
          <w:marRight w:val="0"/>
          <w:marTop w:val="0"/>
          <w:marBottom w:val="0"/>
          <w:divBdr>
            <w:top w:val="none" w:sz="0" w:space="0" w:color="auto"/>
            <w:left w:val="none" w:sz="0" w:space="0" w:color="auto"/>
            <w:bottom w:val="none" w:sz="0" w:space="0" w:color="auto"/>
            <w:right w:val="none" w:sz="0" w:space="0" w:color="auto"/>
          </w:divBdr>
        </w:div>
        <w:div w:id="1456753627">
          <w:marLeft w:val="0"/>
          <w:marRight w:val="0"/>
          <w:marTop w:val="0"/>
          <w:marBottom w:val="0"/>
          <w:divBdr>
            <w:top w:val="none" w:sz="0" w:space="0" w:color="auto"/>
            <w:left w:val="none" w:sz="0" w:space="0" w:color="auto"/>
            <w:bottom w:val="none" w:sz="0" w:space="0" w:color="auto"/>
            <w:right w:val="none" w:sz="0" w:space="0" w:color="auto"/>
          </w:divBdr>
        </w:div>
        <w:div w:id="1535802377">
          <w:marLeft w:val="0"/>
          <w:marRight w:val="0"/>
          <w:marTop w:val="0"/>
          <w:marBottom w:val="0"/>
          <w:divBdr>
            <w:top w:val="none" w:sz="0" w:space="0" w:color="auto"/>
            <w:left w:val="none" w:sz="0" w:space="0" w:color="auto"/>
            <w:bottom w:val="none" w:sz="0" w:space="0" w:color="auto"/>
            <w:right w:val="none" w:sz="0" w:space="0" w:color="auto"/>
          </w:divBdr>
        </w:div>
        <w:div w:id="1624924662">
          <w:marLeft w:val="0"/>
          <w:marRight w:val="0"/>
          <w:marTop w:val="0"/>
          <w:marBottom w:val="0"/>
          <w:divBdr>
            <w:top w:val="none" w:sz="0" w:space="0" w:color="auto"/>
            <w:left w:val="none" w:sz="0" w:space="0" w:color="auto"/>
            <w:bottom w:val="none" w:sz="0" w:space="0" w:color="auto"/>
            <w:right w:val="none" w:sz="0" w:space="0" w:color="auto"/>
          </w:divBdr>
        </w:div>
        <w:div w:id="1713798211">
          <w:marLeft w:val="0"/>
          <w:marRight w:val="0"/>
          <w:marTop w:val="0"/>
          <w:marBottom w:val="0"/>
          <w:divBdr>
            <w:top w:val="none" w:sz="0" w:space="0" w:color="auto"/>
            <w:left w:val="none" w:sz="0" w:space="0" w:color="auto"/>
            <w:bottom w:val="none" w:sz="0" w:space="0" w:color="auto"/>
            <w:right w:val="none" w:sz="0" w:space="0" w:color="auto"/>
          </w:divBdr>
        </w:div>
        <w:div w:id="1764064292">
          <w:marLeft w:val="0"/>
          <w:marRight w:val="0"/>
          <w:marTop w:val="0"/>
          <w:marBottom w:val="0"/>
          <w:divBdr>
            <w:top w:val="none" w:sz="0" w:space="0" w:color="auto"/>
            <w:left w:val="none" w:sz="0" w:space="0" w:color="auto"/>
            <w:bottom w:val="none" w:sz="0" w:space="0" w:color="auto"/>
            <w:right w:val="none" w:sz="0" w:space="0" w:color="auto"/>
          </w:divBdr>
        </w:div>
        <w:div w:id="1835338630">
          <w:marLeft w:val="0"/>
          <w:marRight w:val="0"/>
          <w:marTop w:val="0"/>
          <w:marBottom w:val="0"/>
          <w:divBdr>
            <w:top w:val="none" w:sz="0" w:space="0" w:color="auto"/>
            <w:left w:val="none" w:sz="0" w:space="0" w:color="auto"/>
            <w:bottom w:val="none" w:sz="0" w:space="0" w:color="auto"/>
            <w:right w:val="none" w:sz="0" w:space="0" w:color="auto"/>
          </w:divBdr>
        </w:div>
        <w:div w:id="1910311015">
          <w:marLeft w:val="0"/>
          <w:marRight w:val="0"/>
          <w:marTop w:val="0"/>
          <w:marBottom w:val="0"/>
          <w:divBdr>
            <w:top w:val="none" w:sz="0" w:space="0" w:color="auto"/>
            <w:left w:val="none" w:sz="0" w:space="0" w:color="auto"/>
            <w:bottom w:val="none" w:sz="0" w:space="0" w:color="auto"/>
            <w:right w:val="none" w:sz="0" w:space="0" w:color="auto"/>
          </w:divBdr>
        </w:div>
        <w:div w:id="1967277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9A9F2-8AC8-4864-9430-EA2FD2E56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Pages>
  <Words>1936</Words>
  <Characters>11621</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Opis wskaźników</vt:lpstr>
    </vt:vector>
  </TitlesOfParts>
  <Company/>
  <LinksUpToDate>false</LinksUpToDate>
  <CharactersWithSpaces>13530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wskaźników</dc:title>
  <dc:creator>Dorota Dubanowicz</dc:creator>
  <cp:lastModifiedBy>DW EFRR</cp:lastModifiedBy>
  <cp:revision>24</cp:revision>
  <cp:lastPrinted>2016-11-14T13:21:00Z</cp:lastPrinted>
  <dcterms:created xsi:type="dcterms:W3CDTF">2023-03-01T21:56:00Z</dcterms:created>
  <dcterms:modified xsi:type="dcterms:W3CDTF">2023-04-03T12:46:00Z</dcterms:modified>
</cp:coreProperties>
</file>