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E43F92">
      <w:pPr>
        <w:pStyle w:val="Nagwek1"/>
        <w:spacing w:before="840" w:after="960"/>
        <w:jc w:val="left"/>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45B23B63"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w:t>
      </w:r>
      <w:r w:rsidR="00420E96" w:rsidRPr="00420E96">
        <w:rPr>
          <w:rFonts w:ascii="Arial" w:hAnsi="Arial" w:cs="Arial"/>
          <w:sz w:val="24"/>
          <w:szCs w:val="24"/>
        </w:rPr>
        <w:t xml:space="preserve">Działania 6.3 Publiczny autobusowy transport zbiorowy (typ projektu 2) Priorytetu VI Zrównoważony system transportu programu Fundusze Europejskie dla Lubelskiego 2021-2027 </w:t>
      </w:r>
      <w:r w:rsidRPr="00745391">
        <w:rPr>
          <w:rFonts w:ascii="Arial" w:hAnsi="Arial" w:cs="Arial"/>
          <w:sz w:val="24"/>
          <w:szCs w:val="24"/>
        </w:rPr>
        <w:t>na realizację projektu:</w:t>
      </w:r>
      <w:r w:rsidRPr="00995376">
        <w:rPr>
          <w:rFonts w:ascii="Arial" w:hAnsi="Arial" w:cs="Arial"/>
          <w:sz w:val="24"/>
          <w:szCs w:val="24"/>
        </w:rPr>
        <w:t xml:space="preserve"> </w:t>
      </w:r>
    </w:p>
    <w:p w14:paraId="2A3EA523" w14:textId="5D684991" w:rsidR="00B54F16" w:rsidRPr="00900027" w:rsidRDefault="00B54F16" w:rsidP="00B54F16">
      <w:pPr>
        <w:pStyle w:val="Tekstpodstawowy"/>
        <w:spacing w:line="360" w:lineRule="auto"/>
        <w:jc w:val="left"/>
        <w:rPr>
          <w:rFonts w:ascii="Arial" w:hAnsi="Arial" w:cs="Arial"/>
        </w:rPr>
      </w:pPr>
      <w:r w:rsidRPr="00900027">
        <w:rPr>
          <w:rFonts w:ascii="Arial" w:hAnsi="Arial" w:cs="Arial"/>
        </w:rPr>
        <w:t>...................................................................................................................................................................</w:t>
      </w:r>
    </w:p>
    <w:p w14:paraId="4051F2A0" w14:textId="77777777" w:rsidR="00B54F16" w:rsidRPr="00900027" w:rsidRDefault="00B54F16" w:rsidP="00B54F16">
      <w:pPr>
        <w:spacing w:line="360" w:lineRule="auto"/>
        <w:jc w:val="center"/>
        <w:rPr>
          <w:rFonts w:ascii="Arial" w:hAnsi="Arial" w:cs="Arial"/>
          <w:iCs/>
        </w:rPr>
      </w:pPr>
      <w:r w:rsidRPr="00900027">
        <w:rPr>
          <w:rFonts w:ascii="Arial" w:hAnsi="Arial" w:cs="Arial"/>
          <w:iCs/>
        </w:rPr>
        <w:t>(tytuł projektu)</w:t>
      </w:r>
    </w:p>
    <w:p w14:paraId="6486E8FA" w14:textId="5549E18C" w:rsidR="00737B12" w:rsidRPr="00900027" w:rsidRDefault="00737B12" w:rsidP="001B728D">
      <w:pPr>
        <w:pStyle w:val="Tekstpodstawowy"/>
        <w:spacing w:line="480" w:lineRule="auto"/>
        <w:jc w:val="left"/>
        <w:rPr>
          <w:rFonts w:ascii="Arial" w:hAnsi="Arial" w:cs="Arial"/>
          <w:lang w:val="pl-PL"/>
        </w:rPr>
      </w:pPr>
      <w:r w:rsidRPr="00900027">
        <w:rPr>
          <w:rFonts w:ascii="Arial" w:hAnsi="Arial" w:cs="Arial"/>
          <w:lang w:val="pl-PL"/>
        </w:rPr>
        <w:t>...................................................................................................................</w:t>
      </w:r>
      <w:r w:rsidR="00900027">
        <w:rPr>
          <w:rFonts w:ascii="Arial" w:hAnsi="Arial" w:cs="Arial"/>
          <w:lang w:val="pl-PL"/>
        </w:rPr>
        <w:t>...........................</w:t>
      </w:r>
      <w:r w:rsidRPr="00900027">
        <w:rPr>
          <w:rFonts w:ascii="Arial" w:hAnsi="Arial" w:cs="Arial"/>
          <w:lang w:val="pl-PL"/>
        </w:rPr>
        <w:t>.................</w:t>
      </w:r>
      <w:r w:rsidR="007174E5" w:rsidRPr="00900027">
        <w:rPr>
          <w:rFonts w:ascii="Arial" w:hAnsi="Arial" w:cs="Arial"/>
          <w:lang w:val="pl-PL"/>
        </w:rPr>
        <w:t>....</w:t>
      </w:r>
    </w:p>
    <w:p w14:paraId="26A49D75" w14:textId="0F656D5B" w:rsidR="005E38AA" w:rsidRPr="00900027" w:rsidRDefault="00737B12" w:rsidP="001B728D">
      <w:pPr>
        <w:pStyle w:val="Tekstpodstawowy"/>
        <w:spacing w:line="480" w:lineRule="auto"/>
        <w:jc w:val="center"/>
        <w:rPr>
          <w:rFonts w:ascii="Arial" w:hAnsi="Arial" w:cs="Arial"/>
          <w:lang w:val="pl-PL"/>
        </w:rPr>
      </w:pPr>
      <w:r w:rsidRPr="00900027">
        <w:rPr>
          <w:rFonts w:ascii="Arial" w:hAnsi="Arial" w:cs="Arial"/>
          <w:lang w:val="pl-PL"/>
        </w:rPr>
        <w:t xml:space="preserve">(nazwa </w:t>
      </w:r>
      <w:r w:rsidR="005571B6" w:rsidRPr="00900027">
        <w:rPr>
          <w:rFonts w:ascii="Arial" w:hAnsi="Arial" w:cs="Arial"/>
          <w:lang w:val="pl-PL"/>
        </w:rPr>
        <w:t>wnioskodawcy</w:t>
      </w:r>
      <w:r w:rsidR="00F34CE9" w:rsidRPr="00900027">
        <w:rPr>
          <w:rFonts w:ascii="Arial" w:hAnsi="Arial" w:cs="Arial"/>
          <w:lang w:val="pl-PL"/>
        </w:rPr>
        <w:t>/partnera</w:t>
      </w:r>
      <w:r w:rsidRPr="00900027">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proofErr w:type="spellStart"/>
      <w:r w:rsidRPr="00EA4E88">
        <w:rPr>
          <w:rFonts w:ascii="Arial" w:hAnsi="Arial" w:cs="Arial"/>
          <w:sz w:val="24"/>
          <w:szCs w:val="24"/>
          <w:lang w:val="pl-PL"/>
        </w:rPr>
        <w:t>mikroprzedsiębiorcą</w:t>
      </w:r>
      <w:proofErr w:type="spellEnd"/>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1E079285" w14:textId="3E11CC86"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w:t>
      </w:r>
      <w:r w:rsidR="00900027">
        <w:rPr>
          <w:rFonts w:ascii="Arial" w:hAnsi="Arial" w:cs="Arial"/>
          <w:sz w:val="24"/>
          <w:szCs w:val="24"/>
        </w:rPr>
        <w:t>R</w:t>
      </w:r>
      <w:r w:rsidR="00147934" w:rsidRPr="00EA4E88">
        <w:rPr>
          <w:rFonts w:ascii="Arial" w:hAnsi="Arial" w:cs="Arial"/>
          <w:sz w:val="24"/>
          <w:szCs w:val="24"/>
        </w:rPr>
        <w:t>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900027">
        <w:rPr>
          <w:rFonts w:ascii="Arial" w:hAnsi="Arial" w:cs="Arial"/>
          <w:sz w:val="24"/>
          <w:szCs w:val="24"/>
        </w:rPr>
        <w:br/>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w:t>
      </w:r>
      <w:proofErr w:type="spellStart"/>
      <w:r w:rsidR="00203C86" w:rsidRPr="00EA4E88">
        <w:rPr>
          <w:rFonts w:ascii="Arial" w:hAnsi="Arial" w:cs="Arial"/>
          <w:sz w:val="24"/>
          <w:szCs w:val="24"/>
        </w:rPr>
        <w:t>późn</w:t>
      </w:r>
      <w:proofErr w:type="spellEnd"/>
      <w:r w:rsidR="00203C86" w:rsidRPr="00EA4E88">
        <w:rPr>
          <w:rFonts w:ascii="Arial" w:hAnsi="Arial" w:cs="Arial"/>
          <w:sz w:val="24"/>
          <w:szCs w:val="24"/>
        </w:rPr>
        <w:t>. zm.</w:t>
      </w:r>
      <w:r w:rsidR="00E54B54" w:rsidRPr="00EA4E88">
        <w:rPr>
          <w:rFonts w:ascii="Arial" w:hAnsi="Arial" w:cs="Arial"/>
          <w:sz w:val="24"/>
          <w:szCs w:val="24"/>
        </w:rPr>
        <w:t>)</w:t>
      </w:r>
      <w:r w:rsidRPr="00EA4E88">
        <w:rPr>
          <w:rFonts w:ascii="Arial" w:hAnsi="Arial" w:cs="Arial"/>
          <w:sz w:val="24"/>
          <w:szCs w:val="24"/>
        </w:rPr>
        <w:t>.</w:t>
      </w:r>
    </w:p>
    <w:p w14:paraId="7AF087FE" w14:textId="03C8DF26" w:rsidR="00A76073" w:rsidRDefault="00A76073" w:rsidP="00B54F16">
      <w:pPr>
        <w:spacing w:after="3360"/>
        <w:rPr>
          <w:rFonts w:ascii="Arial" w:hAnsi="Arial" w:cs="Arial"/>
          <w:sz w:val="24"/>
          <w:szCs w:val="24"/>
        </w:rPr>
      </w:pP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8C6AA9"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8C6AA9"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8C6AA9"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End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8C6AA9"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End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34F63E9E"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xml:space="preserve">, </w:t>
      </w:r>
      <w:r w:rsidR="00677EE9">
        <w:rPr>
          <w:rStyle w:val="Pogrubienie"/>
          <w:rFonts w:ascii="Arial" w:hAnsi="Arial" w:cs="Arial"/>
          <w:b w:val="0"/>
          <w:bCs w:val="0"/>
          <w:sz w:val="24"/>
          <w:szCs w:val="24"/>
        </w:rPr>
        <w:br/>
      </w:r>
      <w:r w:rsidR="005E16B9">
        <w:rPr>
          <w:rStyle w:val="Pogrubienie"/>
          <w:rFonts w:ascii="Arial" w:hAnsi="Arial" w:cs="Arial"/>
          <w:b w:val="0"/>
          <w:bCs w:val="0"/>
          <w:sz w:val="24"/>
          <w:szCs w:val="24"/>
        </w:rPr>
        <w:t>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 xml:space="preserve">odpowiedzialności karnej, o której mowa w art. 297  ustawy z dnia </w:t>
      </w:r>
      <w:r w:rsidR="00677EE9">
        <w:rPr>
          <w:rStyle w:val="Pogrubienie"/>
          <w:rFonts w:ascii="Arial" w:eastAsia="Calibri" w:hAnsi="Arial" w:cs="Arial"/>
          <w:b w:val="0"/>
          <w:bCs w:val="0"/>
          <w:sz w:val="24"/>
          <w:szCs w:val="24"/>
        </w:rPr>
        <w:br/>
      </w:r>
      <w:r w:rsidRPr="00EA4E88">
        <w:rPr>
          <w:rStyle w:val="Pogrubienie"/>
          <w:rFonts w:ascii="Arial" w:eastAsia="Calibri" w:hAnsi="Arial" w:cs="Arial"/>
          <w:b w:val="0"/>
          <w:bCs w:val="0"/>
          <w:sz w:val="24"/>
          <w:szCs w:val="24"/>
        </w:rPr>
        <w:t>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900027" w:rsidRDefault="004B3FC9" w:rsidP="00900027">
      <w:pPr>
        <w:spacing w:before="600"/>
        <w:ind w:left="4956"/>
        <w:rPr>
          <w:rFonts w:ascii="Arial" w:hAnsi="Arial" w:cs="Arial"/>
        </w:rPr>
      </w:pPr>
      <w:r w:rsidRPr="00900027">
        <w:rPr>
          <w:rFonts w:ascii="Arial" w:hAnsi="Arial" w:cs="Arial"/>
        </w:rPr>
        <w:t>…………………….............................</w:t>
      </w:r>
    </w:p>
    <w:p w14:paraId="5069E83C" w14:textId="3CA69F3F" w:rsidR="00D67A58" w:rsidRPr="00900027" w:rsidRDefault="00666D90" w:rsidP="00900027">
      <w:pPr>
        <w:ind w:left="4956"/>
        <w:rPr>
          <w:rFonts w:ascii="Arial" w:hAnsi="Arial" w:cs="Arial"/>
        </w:rPr>
      </w:pPr>
      <w:r w:rsidRPr="00900027">
        <w:rPr>
          <w:rFonts w:ascii="Arial" w:hAnsi="Arial" w:cs="Arial"/>
        </w:rPr>
        <w:t xml:space="preserve">   </w:t>
      </w:r>
      <w:r w:rsidR="00900027">
        <w:rPr>
          <w:rFonts w:ascii="Arial" w:hAnsi="Arial" w:cs="Arial"/>
        </w:rPr>
        <w:t xml:space="preserve">                 </w:t>
      </w:r>
      <w:r w:rsidRPr="00900027">
        <w:rPr>
          <w:rFonts w:ascii="Arial" w:hAnsi="Arial" w:cs="Arial"/>
        </w:rPr>
        <w:t xml:space="preserve"> (</w:t>
      </w:r>
      <w:r w:rsidR="004B3FC9" w:rsidRPr="00900027">
        <w:rPr>
          <w:rFonts w:ascii="Arial" w:hAnsi="Arial" w:cs="Arial"/>
        </w:rPr>
        <w:t>podpis</w:t>
      </w:r>
      <w:r w:rsidR="00B54F16" w:rsidRPr="00900027">
        <w:rPr>
          <w:rFonts w:ascii="Arial" w:hAnsi="Arial" w:cs="Arial"/>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5A7ABB" w:rsidRDefault="00541DCA" w:rsidP="005A7ABB">
      <w:pPr>
        <w:spacing w:before="1440"/>
        <w:jc w:val="right"/>
        <w:rPr>
          <w:rFonts w:ascii="Arial" w:hAnsi="Arial" w:cs="Arial"/>
        </w:rPr>
      </w:pPr>
      <w:r w:rsidRPr="005A7ABB">
        <w:rPr>
          <w:rFonts w:ascii="Arial" w:hAnsi="Arial" w:cs="Arial"/>
        </w:rPr>
        <w:lastRenderedPageBreak/>
        <w:t>…………………….....................................</w:t>
      </w:r>
    </w:p>
    <w:p w14:paraId="00DC1C6E" w14:textId="691961AF" w:rsidR="00F4173F" w:rsidRPr="005A7ABB" w:rsidRDefault="005A7ABB" w:rsidP="005A7ABB">
      <w:pPr>
        <w:spacing w:after="1200"/>
        <w:jc w:val="center"/>
        <w:rPr>
          <w:rFonts w:ascii="Arial" w:hAnsi="Arial" w:cs="Arial"/>
        </w:rPr>
        <w:sectPr w:rsidR="00F4173F" w:rsidRPr="005A7ABB"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Pr>
          <w:rFonts w:ascii="Arial" w:hAnsi="Arial" w:cs="Arial"/>
        </w:rPr>
        <w:t xml:space="preserve">                                                                                             </w:t>
      </w:r>
      <w:r w:rsidR="00541DCA" w:rsidRPr="005A7ABB">
        <w:rPr>
          <w:rFonts w:ascii="Arial" w:hAnsi="Arial" w:cs="Arial"/>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5A7ABB" w:rsidRDefault="00541DCA" w:rsidP="005A7ABB">
      <w:pPr>
        <w:spacing w:before="1320"/>
        <w:jc w:val="right"/>
        <w:rPr>
          <w:rFonts w:ascii="Arial" w:hAnsi="Arial" w:cs="Arial"/>
        </w:rPr>
      </w:pPr>
      <w:r w:rsidRPr="005A7ABB">
        <w:rPr>
          <w:rFonts w:ascii="Arial" w:hAnsi="Arial" w:cs="Arial"/>
        </w:rPr>
        <w:t>…………………….....................................</w:t>
      </w:r>
    </w:p>
    <w:p w14:paraId="28BB33E9" w14:textId="0FE204E4" w:rsidR="00541DCA" w:rsidRPr="005A7ABB" w:rsidRDefault="005A7ABB" w:rsidP="005A7ABB">
      <w:pPr>
        <w:spacing w:after="920"/>
        <w:jc w:val="center"/>
        <w:rPr>
          <w:rFonts w:ascii="Arial" w:hAnsi="Arial" w:cs="Arial"/>
        </w:rPr>
      </w:pPr>
      <w:r>
        <w:rPr>
          <w:rFonts w:ascii="Arial" w:hAnsi="Arial" w:cs="Arial"/>
        </w:rPr>
        <w:t xml:space="preserve">                                                                                                 </w:t>
      </w:r>
      <w:r w:rsidR="00541DCA" w:rsidRPr="005A7ABB">
        <w:rPr>
          <w:rFonts w:ascii="Arial" w:hAnsi="Arial" w:cs="Arial"/>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5A7ABB" w:rsidRDefault="00541DCA" w:rsidP="005A7ABB">
      <w:pPr>
        <w:spacing w:before="1440"/>
        <w:jc w:val="right"/>
        <w:rPr>
          <w:rFonts w:ascii="Arial" w:hAnsi="Arial" w:cs="Arial"/>
        </w:rPr>
      </w:pPr>
      <w:r w:rsidRPr="005A7ABB">
        <w:rPr>
          <w:rFonts w:ascii="Arial" w:hAnsi="Arial" w:cs="Arial"/>
        </w:rPr>
        <w:t>…………………….........................................</w:t>
      </w:r>
    </w:p>
    <w:p w14:paraId="44881A4D" w14:textId="43BC6EEF" w:rsidR="00541DCA" w:rsidRPr="005A7ABB" w:rsidRDefault="005A7ABB" w:rsidP="005A7ABB">
      <w:pPr>
        <w:jc w:val="center"/>
        <w:rPr>
          <w:rFonts w:ascii="Arial" w:hAnsi="Arial" w:cs="Arial"/>
        </w:rPr>
      </w:pPr>
      <w:r>
        <w:rPr>
          <w:rFonts w:ascii="Arial" w:hAnsi="Arial" w:cs="Arial"/>
        </w:rPr>
        <w:t xml:space="preserve">                                                                                               </w:t>
      </w:r>
      <w:r w:rsidR="00541DCA" w:rsidRPr="005A7ABB">
        <w:rPr>
          <w:rFonts w:ascii="Arial" w:hAnsi="Arial" w:cs="Arial"/>
        </w:rPr>
        <w:t>(podpis)</w:t>
      </w:r>
    </w:p>
    <w:sectPr w:rsidR="00541DCA" w:rsidRPr="005A7ABB"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8B93" w14:textId="77777777" w:rsidR="008C6AA9" w:rsidRDefault="008C6AA9">
      <w:r>
        <w:separator/>
      </w:r>
    </w:p>
  </w:endnote>
  <w:endnote w:type="continuationSeparator" w:id="0">
    <w:p w14:paraId="289F161E" w14:textId="77777777" w:rsidR="008C6AA9" w:rsidRDefault="008C6AA9">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C5E6" w14:textId="77777777" w:rsidR="008C6AA9" w:rsidRDefault="008C6AA9">
      <w:r>
        <w:separator/>
      </w:r>
    </w:p>
  </w:footnote>
  <w:footnote w:type="continuationSeparator" w:id="0">
    <w:p w14:paraId="7FA42408" w14:textId="77777777" w:rsidR="008C6AA9" w:rsidRDefault="008C6AA9">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503F1"/>
    <w:rsid w:val="00051A67"/>
    <w:rsid w:val="00052BFA"/>
    <w:rsid w:val="00054295"/>
    <w:rsid w:val="00067FB2"/>
    <w:rsid w:val="00073A25"/>
    <w:rsid w:val="000763C4"/>
    <w:rsid w:val="00077201"/>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02D9"/>
    <w:rsid w:val="00293233"/>
    <w:rsid w:val="00293CA9"/>
    <w:rsid w:val="00296849"/>
    <w:rsid w:val="002B240F"/>
    <w:rsid w:val="002C1D12"/>
    <w:rsid w:val="002C58E6"/>
    <w:rsid w:val="002D33E7"/>
    <w:rsid w:val="002F15B4"/>
    <w:rsid w:val="00322540"/>
    <w:rsid w:val="003227E9"/>
    <w:rsid w:val="0033521D"/>
    <w:rsid w:val="00350ECB"/>
    <w:rsid w:val="00357A68"/>
    <w:rsid w:val="003646A6"/>
    <w:rsid w:val="003741C5"/>
    <w:rsid w:val="00393876"/>
    <w:rsid w:val="0039402B"/>
    <w:rsid w:val="003969ED"/>
    <w:rsid w:val="003A165A"/>
    <w:rsid w:val="003B0FB5"/>
    <w:rsid w:val="003B3D35"/>
    <w:rsid w:val="003D10ED"/>
    <w:rsid w:val="003F39F4"/>
    <w:rsid w:val="003F3C13"/>
    <w:rsid w:val="003F7042"/>
    <w:rsid w:val="00400255"/>
    <w:rsid w:val="004027E5"/>
    <w:rsid w:val="00403847"/>
    <w:rsid w:val="00420E96"/>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33BB5"/>
    <w:rsid w:val="00535C89"/>
    <w:rsid w:val="00541DCA"/>
    <w:rsid w:val="005438BD"/>
    <w:rsid w:val="00544644"/>
    <w:rsid w:val="00547B7B"/>
    <w:rsid w:val="00556C6C"/>
    <w:rsid w:val="005571B6"/>
    <w:rsid w:val="00560CBC"/>
    <w:rsid w:val="00581EE1"/>
    <w:rsid w:val="005953C8"/>
    <w:rsid w:val="005A2090"/>
    <w:rsid w:val="005A7ABB"/>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35FC"/>
    <w:rsid w:val="006476FD"/>
    <w:rsid w:val="00650847"/>
    <w:rsid w:val="00656884"/>
    <w:rsid w:val="00666D90"/>
    <w:rsid w:val="00677EE9"/>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5E22"/>
    <w:rsid w:val="00736F69"/>
    <w:rsid w:val="00737B12"/>
    <w:rsid w:val="00743A59"/>
    <w:rsid w:val="00745391"/>
    <w:rsid w:val="007674AD"/>
    <w:rsid w:val="00776AEF"/>
    <w:rsid w:val="0078113D"/>
    <w:rsid w:val="00785E46"/>
    <w:rsid w:val="007C276C"/>
    <w:rsid w:val="007C4CEB"/>
    <w:rsid w:val="007C5791"/>
    <w:rsid w:val="007D4F1F"/>
    <w:rsid w:val="007D6EED"/>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6AA9"/>
    <w:rsid w:val="008C7E67"/>
    <w:rsid w:val="008D18CC"/>
    <w:rsid w:val="008D4A06"/>
    <w:rsid w:val="008D70EA"/>
    <w:rsid w:val="008E0CED"/>
    <w:rsid w:val="008F1C95"/>
    <w:rsid w:val="00900027"/>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F091D"/>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542"/>
    <w:rsid w:val="00C201CD"/>
    <w:rsid w:val="00C21E33"/>
    <w:rsid w:val="00C31876"/>
    <w:rsid w:val="00C31AE9"/>
    <w:rsid w:val="00C32533"/>
    <w:rsid w:val="00C34C46"/>
    <w:rsid w:val="00C53F19"/>
    <w:rsid w:val="00C61748"/>
    <w:rsid w:val="00C63B50"/>
    <w:rsid w:val="00C661A1"/>
    <w:rsid w:val="00C75E7C"/>
    <w:rsid w:val="00C761AD"/>
    <w:rsid w:val="00C82019"/>
    <w:rsid w:val="00C82805"/>
    <w:rsid w:val="00C8537B"/>
    <w:rsid w:val="00C93BA1"/>
    <w:rsid w:val="00CB647B"/>
    <w:rsid w:val="00CB70F3"/>
    <w:rsid w:val="00CC69B4"/>
    <w:rsid w:val="00CD6DC7"/>
    <w:rsid w:val="00CD6EEA"/>
    <w:rsid w:val="00CE2DAA"/>
    <w:rsid w:val="00CE4F08"/>
    <w:rsid w:val="00CF0684"/>
    <w:rsid w:val="00CF50A2"/>
    <w:rsid w:val="00D02BDA"/>
    <w:rsid w:val="00D079BF"/>
    <w:rsid w:val="00D11002"/>
    <w:rsid w:val="00D17E91"/>
    <w:rsid w:val="00D46467"/>
    <w:rsid w:val="00D47E06"/>
    <w:rsid w:val="00D6565C"/>
    <w:rsid w:val="00D67A58"/>
    <w:rsid w:val="00D71EF6"/>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3F92"/>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21D-4C5D-4721-AD06-B1635E8DCF6B}">
  <ds:schemaRefs>
    <ds:schemaRef ds:uri="http://www.w3.org/2001/XMLSchema"/>
  </ds:schemaRefs>
</ds:datastoreItem>
</file>

<file path=customXml/itemProps2.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42</TotalTime>
  <Pages>12</Pages>
  <Words>1020</Words>
  <Characters>6123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Oświadczenie partnera projektu o spełnieniu kryteriów MŚP</vt:lpstr>
    </vt:vector>
  </TitlesOfParts>
  <Company>PARP</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Sylwia Daktera-Grabek</cp:lastModifiedBy>
  <cp:revision>39</cp:revision>
  <cp:lastPrinted>2023-04-21T13:11:00Z</cp:lastPrinted>
  <dcterms:created xsi:type="dcterms:W3CDTF">2024-02-15T11:04:00Z</dcterms:created>
  <dcterms:modified xsi:type="dcterms:W3CDTF">2026-06-19T06:39:00Z</dcterms:modified>
</cp:coreProperties>
</file>