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14ED" w14:textId="4B6D7110" w:rsidR="006571CA" w:rsidRDefault="00D917FD" w:rsidP="00477564">
      <w:pPr>
        <w:pStyle w:val="Nagwek1"/>
      </w:pPr>
      <w:r w:rsidRPr="00236549">
        <w:t xml:space="preserve">Załącznik nr 4 do Regulaminu </w:t>
      </w:r>
      <w:r w:rsidR="00B75B9E" w:rsidRPr="00236549">
        <w:t>wyboru projekt</w:t>
      </w:r>
      <w:r w:rsidR="006863FA">
        <w:t>u</w:t>
      </w:r>
      <w:r w:rsidRPr="00236549">
        <w:t xml:space="preserve">: </w:t>
      </w:r>
      <w:r w:rsidR="00294668" w:rsidRPr="00236549">
        <w:t xml:space="preserve">Wykaz wskaźników dotyczących </w:t>
      </w:r>
      <w:r w:rsidR="003020E3">
        <w:t xml:space="preserve">Działania </w:t>
      </w:r>
      <w:r w:rsidR="00A62D8D" w:rsidRPr="00A62D8D">
        <w:t>1</w:t>
      </w:r>
      <w:r w:rsidR="00DB6BE3">
        <w:t>8</w:t>
      </w:r>
      <w:r w:rsidR="00A62D8D" w:rsidRPr="00A62D8D">
        <w:t>.</w:t>
      </w:r>
      <w:r w:rsidR="00DB6BE3">
        <w:t>2</w:t>
      </w:r>
      <w:r w:rsidR="00A62D8D" w:rsidRPr="00A62D8D">
        <w:t xml:space="preserve"> </w:t>
      </w:r>
      <w:r w:rsidR="009955CE">
        <w:t>Rynek pracy na rzecz dekarbonizacji</w:t>
      </w:r>
      <w:r w:rsidR="00BD034E">
        <w:t xml:space="preserve"> (typ projektu 1) </w:t>
      </w:r>
      <w:r w:rsidR="005029BD" w:rsidRPr="00B41DD4">
        <w:rPr>
          <w:rFonts w:cs="Arial"/>
          <w:bCs/>
          <w:szCs w:val="24"/>
        </w:rPr>
        <w:t>Priorytetu XVII</w:t>
      </w:r>
      <w:r w:rsidR="005029BD">
        <w:rPr>
          <w:rFonts w:cs="Arial"/>
          <w:bCs/>
          <w:szCs w:val="24"/>
        </w:rPr>
        <w:t>I</w:t>
      </w:r>
      <w:r w:rsidR="005029BD" w:rsidRPr="00B41DD4">
        <w:rPr>
          <w:rFonts w:cs="Arial"/>
          <w:bCs/>
          <w:szCs w:val="24"/>
        </w:rPr>
        <w:t xml:space="preserve"> </w:t>
      </w:r>
      <w:r w:rsidR="005029BD">
        <w:rPr>
          <w:rFonts w:cs="Arial"/>
          <w:bCs/>
          <w:szCs w:val="24"/>
        </w:rPr>
        <w:t>Dekarbonizacja</w:t>
      </w:r>
      <w:r w:rsidR="005029BD" w:rsidRPr="00B41DD4">
        <w:rPr>
          <w:rFonts w:cs="Arial"/>
          <w:bCs/>
          <w:szCs w:val="24"/>
        </w:rPr>
        <w:t xml:space="preserve"> EFS+</w:t>
      </w:r>
      <w:r w:rsidR="00E546C3" w:rsidRPr="00236549">
        <w:t xml:space="preserve"> </w:t>
      </w:r>
      <w:r w:rsidR="0096151A" w:rsidRPr="00236549">
        <w:t>programu Fundusze Europejskie dla Lubelskiego 2021-2027</w:t>
      </w:r>
      <w:r w:rsidR="005029BD">
        <w:t>.</w:t>
      </w:r>
    </w:p>
    <w:p w14:paraId="77AB87A5" w14:textId="77777777" w:rsidR="00B81C3F" w:rsidRPr="00B81C3F" w:rsidRDefault="00B81C3F" w:rsidP="00B81C3F">
      <w:pPr>
        <w:spacing w:after="0"/>
        <w:contextualSpacing/>
        <w:rPr>
          <w:rFonts w:ascii="Arial" w:eastAsia="Calibri" w:hAnsi="Arial" w:cs="Arial"/>
          <w:sz w:val="24"/>
          <w:szCs w:val="24"/>
        </w:rPr>
      </w:pPr>
    </w:p>
    <w:p w14:paraId="0A7FAD2C" w14:textId="04B68278" w:rsidR="00B81C3F" w:rsidRPr="00EB13BC" w:rsidRDefault="00B81C3F" w:rsidP="00B81C3F">
      <w:pPr>
        <w:spacing w:after="0"/>
        <w:contextualSpacing/>
        <w:rPr>
          <w:rFonts w:ascii="Arial" w:eastAsia="Calibri" w:hAnsi="Arial" w:cs="Arial"/>
          <w:sz w:val="24"/>
          <w:szCs w:val="24"/>
        </w:rPr>
      </w:pPr>
      <w:r w:rsidRPr="00EB13BC">
        <w:rPr>
          <w:rFonts w:ascii="Arial" w:eastAsia="Calibri" w:hAnsi="Arial" w:cs="Arial"/>
          <w:sz w:val="24"/>
          <w:szCs w:val="24"/>
        </w:rPr>
        <w:t>Typ projektu:</w:t>
      </w:r>
    </w:p>
    <w:p w14:paraId="748ED67B" w14:textId="77777777" w:rsidR="00EB13BC" w:rsidRPr="00EB13BC" w:rsidRDefault="00A62D8D" w:rsidP="00EB13BC">
      <w:pPr>
        <w:tabs>
          <w:tab w:val="left" w:pos="426"/>
        </w:tabs>
        <w:spacing w:after="0"/>
        <w:rPr>
          <w:rFonts w:ascii="Arial" w:eastAsiaTheme="majorEastAsia" w:hAnsi="Arial" w:cs="Arial"/>
          <w:sz w:val="24"/>
          <w:szCs w:val="24"/>
        </w:rPr>
      </w:pPr>
      <w:r w:rsidRPr="00EB13BC">
        <w:rPr>
          <w:rFonts w:ascii="Arial" w:eastAsia="Calibri" w:hAnsi="Arial" w:cs="Arial"/>
          <w:sz w:val="24"/>
          <w:szCs w:val="24"/>
        </w:rPr>
        <w:t>1.</w:t>
      </w:r>
      <w:r w:rsidRPr="00EB13BC">
        <w:rPr>
          <w:rFonts w:ascii="Arial" w:eastAsia="Calibri" w:hAnsi="Arial" w:cs="Arial"/>
          <w:sz w:val="24"/>
          <w:szCs w:val="24"/>
        </w:rPr>
        <w:tab/>
      </w:r>
      <w:r w:rsidR="00EB13BC" w:rsidRPr="00EB13BC">
        <w:rPr>
          <w:rFonts w:ascii="Arial" w:eastAsiaTheme="majorEastAsia" w:hAnsi="Arial" w:cs="Arial"/>
          <w:sz w:val="24"/>
          <w:szCs w:val="24"/>
        </w:rPr>
        <w:t xml:space="preserve">Szkolenia dla pracowników, przedsiębiorstw i przedsiębiorców w zakresie dekarbonizacji zdolności produkcyjnych, realizowane poza BUR. </w:t>
      </w:r>
    </w:p>
    <w:p w14:paraId="79CB94AE" w14:textId="26C7337B" w:rsidR="00B81C3F" w:rsidRPr="00EB13BC" w:rsidRDefault="00B81C3F" w:rsidP="00A62D8D">
      <w:pPr>
        <w:spacing w:after="0"/>
        <w:contextualSpacing/>
        <w:rPr>
          <w:rFonts w:ascii="Arial" w:eastAsia="Calibri" w:hAnsi="Arial" w:cs="Arial"/>
          <w:sz w:val="24"/>
          <w:szCs w:val="24"/>
        </w:rPr>
      </w:pPr>
    </w:p>
    <w:p w14:paraId="7DE82AFF" w14:textId="77777777" w:rsidR="00B81C3F" w:rsidRPr="00B81C3F" w:rsidRDefault="00B81C3F" w:rsidP="00B81C3F">
      <w:pPr>
        <w:spacing w:after="0"/>
        <w:contextualSpacing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14:paraId="68ABD9FE" w14:textId="0E660593" w:rsidR="00614C99" w:rsidRPr="00DA5712" w:rsidRDefault="00614C99" w:rsidP="00B81C3F">
      <w:pPr>
        <w:spacing w:after="0"/>
        <w:ind w:left="426"/>
        <w:contextualSpacing/>
        <w:rPr>
          <w:rFonts w:ascii="Arial" w:hAnsi="Arial" w:cs="Arial"/>
          <w:iCs/>
          <w:sz w:val="24"/>
          <w:szCs w:val="24"/>
        </w:rPr>
      </w:pPr>
      <w:r w:rsidRPr="00DA5712">
        <w:rPr>
          <w:rFonts w:ascii="Arial" w:hAnsi="Arial" w:cs="Arial"/>
          <w:b/>
          <w:bCs/>
          <w:iCs/>
          <w:sz w:val="24"/>
          <w:szCs w:val="24"/>
        </w:rPr>
        <w:t xml:space="preserve">Numer naboru: </w:t>
      </w:r>
      <w:r w:rsidRPr="00CE5A0E">
        <w:rPr>
          <w:rFonts w:ascii="Arial" w:hAnsi="Arial" w:cs="Arial"/>
          <w:b/>
          <w:bCs/>
          <w:iCs/>
          <w:sz w:val="24"/>
          <w:szCs w:val="24"/>
        </w:rPr>
        <w:t>FELU.</w:t>
      </w:r>
      <w:r w:rsidR="009955CE">
        <w:rPr>
          <w:rFonts w:ascii="Arial" w:hAnsi="Arial" w:cs="Arial"/>
          <w:b/>
          <w:bCs/>
          <w:iCs/>
          <w:sz w:val="24"/>
          <w:szCs w:val="24"/>
        </w:rPr>
        <w:t>18</w:t>
      </w:r>
      <w:r w:rsidRPr="00E3231B">
        <w:rPr>
          <w:rFonts w:ascii="Arial" w:hAnsi="Arial" w:cs="Arial"/>
          <w:b/>
          <w:bCs/>
          <w:iCs/>
          <w:sz w:val="24"/>
          <w:szCs w:val="24"/>
        </w:rPr>
        <w:t>.0</w:t>
      </w:r>
      <w:r w:rsidR="009955CE">
        <w:rPr>
          <w:rFonts w:ascii="Arial" w:hAnsi="Arial" w:cs="Arial"/>
          <w:b/>
          <w:bCs/>
          <w:iCs/>
          <w:sz w:val="24"/>
          <w:szCs w:val="24"/>
        </w:rPr>
        <w:t>2</w:t>
      </w:r>
      <w:r w:rsidRPr="00E3231B">
        <w:rPr>
          <w:rFonts w:ascii="Arial" w:hAnsi="Arial" w:cs="Arial"/>
          <w:b/>
          <w:bCs/>
          <w:iCs/>
          <w:sz w:val="24"/>
          <w:szCs w:val="24"/>
        </w:rPr>
        <w:t>-IZ.00-00</w:t>
      </w:r>
      <w:r w:rsidR="00E3231B" w:rsidRPr="00E3231B">
        <w:rPr>
          <w:rFonts w:ascii="Arial" w:hAnsi="Arial" w:cs="Arial"/>
          <w:b/>
          <w:bCs/>
          <w:iCs/>
          <w:sz w:val="24"/>
          <w:szCs w:val="24"/>
        </w:rPr>
        <w:t>1</w:t>
      </w:r>
      <w:r w:rsidRPr="00E3231B">
        <w:rPr>
          <w:rFonts w:ascii="Arial" w:hAnsi="Arial" w:cs="Arial"/>
          <w:b/>
          <w:bCs/>
          <w:iCs/>
          <w:sz w:val="24"/>
          <w:szCs w:val="24"/>
        </w:rPr>
        <w:t>/2</w:t>
      </w:r>
      <w:r w:rsidR="00E3231B" w:rsidRPr="00E3231B">
        <w:rPr>
          <w:rFonts w:ascii="Arial" w:hAnsi="Arial" w:cs="Arial"/>
          <w:b/>
          <w:bCs/>
          <w:iCs/>
          <w:sz w:val="24"/>
          <w:szCs w:val="24"/>
        </w:rPr>
        <w:t>6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Wykaz wskaźników dotyczących Działania 10.3"/>
        <w:tblDescription w:val="Tabela zawiera wykaz wskaźników. Dla każdego wskaźnika wskazano jednostkę miary, rodzaj wskaźnika oraz definicję. "/>
      </w:tblPr>
      <w:tblGrid>
        <w:gridCol w:w="712"/>
        <w:gridCol w:w="3008"/>
        <w:gridCol w:w="1430"/>
        <w:gridCol w:w="1863"/>
        <w:gridCol w:w="7405"/>
      </w:tblGrid>
      <w:tr w:rsidR="00BD0D63" w:rsidRPr="006551EE" w14:paraId="6E3A1AAE" w14:textId="77777777" w:rsidTr="009C61A6">
        <w:trPr>
          <w:tblHeader/>
        </w:trPr>
        <w:tc>
          <w:tcPr>
            <w:tcW w:w="247" w:type="pct"/>
            <w:vAlign w:val="center"/>
          </w:tcPr>
          <w:p w14:paraId="39ECDD3A" w14:textId="77777777" w:rsidR="00FB270C" w:rsidRPr="006551EE" w:rsidRDefault="00FB270C" w:rsidP="00477564">
            <w:pPr>
              <w:spacing w:after="120"/>
              <w:jc w:val="center"/>
              <w:rPr>
                <w:rFonts w:ascii="Arial" w:hAnsi="Arial" w:cs="Arial"/>
                <w:b/>
                <w:iCs/>
              </w:rPr>
            </w:pPr>
            <w:r w:rsidRPr="006551EE">
              <w:rPr>
                <w:rFonts w:ascii="Arial" w:hAnsi="Arial" w:cs="Arial"/>
                <w:b/>
                <w:iCs/>
              </w:rPr>
              <w:t>Lp.</w:t>
            </w:r>
          </w:p>
        </w:tc>
        <w:tc>
          <w:tcPr>
            <w:tcW w:w="1043" w:type="pct"/>
            <w:vAlign w:val="center"/>
          </w:tcPr>
          <w:p w14:paraId="4EEFDC00" w14:textId="77777777" w:rsidR="00FB270C" w:rsidRPr="006551EE" w:rsidRDefault="00FB270C" w:rsidP="00477564">
            <w:pPr>
              <w:spacing w:after="120"/>
              <w:jc w:val="center"/>
              <w:rPr>
                <w:rFonts w:ascii="Arial" w:hAnsi="Arial" w:cs="Arial"/>
                <w:b/>
                <w:iCs/>
              </w:rPr>
            </w:pPr>
            <w:r w:rsidRPr="006551EE">
              <w:rPr>
                <w:rFonts w:ascii="Arial" w:hAnsi="Arial" w:cs="Arial"/>
                <w:b/>
                <w:iCs/>
              </w:rPr>
              <w:t>Nazwa wskaźnika</w:t>
            </w:r>
          </w:p>
        </w:tc>
        <w:tc>
          <w:tcPr>
            <w:tcW w:w="496" w:type="pct"/>
            <w:vAlign w:val="center"/>
          </w:tcPr>
          <w:p w14:paraId="0D20A003" w14:textId="3CD3AB24" w:rsidR="00FB270C" w:rsidRPr="006551EE" w:rsidRDefault="00FB270C" w:rsidP="00477564">
            <w:pPr>
              <w:spacing w:after="120"/>
              <w:jc w:val="center"/>
              <w:rPr>
                <w:rFonts w:ascii="Arial" w:hAnsi="Arial" w:cs="Arial"/>
                <w:b/>
                <w:iCs/>
              </w:rPr>
            </w:pPr>
            <w:r w:rsidRPr="006551EE">
              <w:rPr>
                <w:rFonts w:ascii="Arial" w:hAnsi="Arial" w:cs="Arial"/>
                <w:b/>
                <w:iCs/>
              </w:rPr>
              <w:t>Jednostka</w:t>
            </w:r>
            <w:r w:rsidR="006133EC" w:rsidRPr="006551EE">
              <w:rPr>
                <w:rFonts w:ascii="Arial" w:hAnsi="Arial" w:cs="Arial"/>
                <w:b/>
                <w:iCs/>
              </w:rPr>
              <w:t xml:space="preserve"> </w:t>
            </w:r>
            <w:r w:rsidRPr="006551EE">
              <w:rPr>
                <w:rFonts w:ascii="Arial" w:hAnsi="Arial" w:cs="Arial"/>
                <w:b/>
                <w:iCs/>
              </w:rPr>
              <w:t>miary</w:t>
            </w:r>
          </w:p>
        </w:tc>
        <w:tc>
          <w:tcPr>
            <w:tcW w:w="646" w:type="pct"/>
            <w:vAlign w:val="center"/>
          </w:tcPr>
          <w:p w14:paraId="25DDEAC6" w14:textId="1FA928AF" w:rsidR="00FB270C" w:rsidRPr="006551EE" w:rsidRDefault="00FB270C" w:rsidP="00477564">
            <w:pPr>
              <w:spacing w:after="120"/>
              <w:jc w:val="center"/>
              <w:rPr>
                <w:rFonts w:ascii="Arial" w:hAnsi="Arial" w:cs="Arial"/>
                <w:b/>
                <w:iCs/>
              </w:rPr>
            </w:pPr>
            <w:r w:rsidRPr="006551EE">
              <w:rPr>
                <w:rFonts w:ascii="Arial" w:hAnsi="Arial" w:cs="Arial"/>
                <w:b/>
                <w:iCs/>
              </w:rPr>
              <w:t>Rodzaj</w:t>
            </w:r>
            <w:r w:rsidR="006133EC" w:rsidRPr="006551EE">
              <w:rPr>
                <w:rFonts w:ascii="Arial" w:hAnsi="Arial" w:cs="Arial"/>
                <w:b/>
                <w:iCs/>
              </w:rPr>
              <w:t xml:space="preserve"> </w:t>
            </w:r>
            <w:r w:rsidRPr="006551EE">
              <w:rPr>
                <w:rFonts w:ascii="Arial" w:hAnsi="Arial" w:cs="Arial"/>
                <w:b/>
                <w:iCs/>
              </w:rPr>
              <w:t>wskaźnika</w:t>
            </w:r>
          </w:p>
        </w:tc>
        <w:tc>
          <w:tcPr>
            <w:tcW w:w="2568" w:type="pct"/>
            <w:vAlign w:val="center"/>
          </w:tcPr>
          <w:p w14:paraId="4D84799B" w14:textId="77777777" w:rsidR="00FB270C" w:rsidRPr="006551EE" w:rsidRDefault="00FB270C" w:rsidP="00477564">
            <w:pPr>
              <w:spacing w:after="120"/>
              <w:jc w:val="center"/>
              <w:rPr>
                <w:rFonts w:ascii="Arial" w:hAnsi="Arial" w:cs="Arial"/>
                <w:b/>
                <w:iCs/>
              </w:rPr>
            </w:pPr>
            <w:r w:rsidRPr="006551EE">
              <w:rPr>
                <w:rFonts w:ascii="Arial" w:hAnsi="Arial" w:cs="Arial"/>
                <w:b/>
                <w:iCs/>
              </w:rPr>
              <w:t>Definicja</w:t>
            </w:r>
          </w:p>
        </w:tc>
      </w:tr>
      <w:tr w:rsidR="00BD0D63" w:rsidRPr="00FF79C2" w14:paraId="7B6FAEEA" w14:textId="77777777" w:rsidTr="009C61A6">
        <w:tc>
          <w:tcPr>
            <w:tcW w:w="247" w:type="pct"/>
          </w:tcPr>
          <w:p w14:paraId="2CF6BF14" w14:textId="77777777" w:rsidR="004D1464" w:rsidRPr="00FF79C2" w:rsidRDefault="004D1464" w:rsidP="00477564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bookmarkStart w:id="0" w:name="_Hlk203047922"/>
          </w:p>
        </w:tc>
        <w:tc>
          <w:tcPr>
            <w:tcW w:w="1043" w:type="pct"/>
          </w:tcPr>
          <w:p w14:paraId="16C954B0" w14:textId="77777777" w:rsidR="00144AEA" w:rsidRPr="00FF79C2" w:rsidRDefault="00144AEA" w:rsidP="00144AE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Liczba osób objętych</w:t>
            </w:r>
          </w:p>
          <w:p w14:paraId="44C295C4" w14:textId="77777777" w:rsidR="00144AEA" w:rsidRPr="00FF79C2" w:rsidRDefault="00144AEA" w:rsidP="00144AE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wsparciem w obszarze</w:t>
            </w:r>
          </w:p>
          <w:p w14:paraId="77F85206" w14:textId="77777777" w:rsidR="00144AEA" w:rsidRPr="00FF79C2" w:rsidRDefault="00144AEA" w:rsidP="00144AE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dostosowania się do</w:t>
            </w:r>
          </w:p>
          <w:p w14:paraId="110D3092" w14:textId="71860320" w:rsidR="004D1464" w:rsidRPr="00FF79C2" w:rsidRDefault="00144AEA" w:rsidP="00144AEA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dekarbonizacji</w:t>
            </w:r>
            <w:r w:rsidR="00A244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96" w:type="pct"/>
          </w:tcPr>
          <w:p w14:paraId="420CFD66" w14:textId="49116E2F" w:rsidR="004D1464" w:rsidRPr="00FF79C2" w:rsidRDefault="00413443" w:rsidP="00413443">
            <w:pPr>
              <w:spacing w:after="6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F79C2">
              <w:rPr>
                <w:rFonts w:ascii="Arial" w:eastAsia="Calibri" w:hAnsi="Arial" w:cs="Arial"/>
                <w:sz w:val="24"/>
                <w:szCs w:val="24"/>
              </w:rPr>
              <w:t>osoby</w:t>
            </w:r>
          </w:p>
        </w:tc>
        <w:tc>
          <w:tcPr>
            <w:tcW w:w="646" w:type="pct"/>
          </w:tcPr>
          <w:p w14:paraId="0761F9EA" w14:textId="5F1778AB" w:rsidR="004D1464" w:rsidRPr="00FF79C2" w:rsidRDefault="00FB472B" w:rsidP="00543D81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w</w:t>
            </w:r>
            <w:r w:rsidR="00413443" w:rsidRPr="00FF79C2">
              <w:rPr>
                <w:rFonts w:ascii="Arial" w:hAnsi="Arial" w:cs="Arial"/>
                <w:iCs/>
                <w:sz w:val="24"/>
                <w:szCs w:val="24"/>
              </w:rPr>
              <w:t>skaźnik</w:t>
            </w:r>
            <w:r w:rsidR="00543D81" w:rsidRPr="00FF79C2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="00413443" w:rsidRPr="00FF79C2">
              <w:rPr>
                <w:rFonts w:ascii="Arial" w:hAnsi="Arial" w:cs="Arial"/>
                <w:iCs/>
                <w:sz w:val="24"/>
                <w:szCs w:val="24"/>
              </w:rPr>
              <w:t>produktu</w:t>
            </w:r>
          </w:p>
        </w:tc>
        <w:tc>
          <w:tcPr>
            <w:tcW w:w="2568" w:type="pct"/>
          </w:tcPr>
          <w:p w14:paraId="021DAE3F" w14:textId="557E1340" w:rsidR="004A5950" w:rsidRPr="00FF79C2" w:rsidRDefault="004A5950" w:rsidP="004A595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Wskaźnik mierzy liczbę osób, które otrzymały bezpośrednie wsparcie EFS+ w zakresie rozwoju kompetencji lub nabycia kwalifikacji w obszarze dostosowania się do</w:t>
            </w:r>
          </w:p>
          <w:p w14:paraId="47B254E4" w14:textId="77777777" w:rsidR="004A5950" w:rsidRPr="00FF79C2" w:rsidRDefault="004A5950" w:rsidP="004A595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dekarbonizacji.</w:t>
            </w:r>
          </w:p>
          <w:p w14:paraId="17E30DE1" w14:textId="772FE250" w:rsidR="004A5950" w:rsidRPr="00FF79C2" w:rsidRDefault="004A5950" w:rsidP="004A595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Uwzględniane są wyłącznie osoby, które rozpoczęły udział we wsparciu w ramach priorytetu realizowanego zgodnie z art. 12d Rozporządzenia parlamentu Europejskiego i Rady (UE)</w:t>
            </w:r>
          </w:p>
          <w:p w14:paraId="7C9840E8" w14:textId="77777777" w:rsidR="004A5950" w:rsidRPr="00FF79C2" w:rsidRDefault="004A5950" w:rsidP="004A595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2021/1057.</w:t>
            </w:r>
          </w:p>
          <w:p w14:paraId="0F670342" w14:textId="54D594E0" w:rsidR="004A5950" w:rsidRPr="00FF79C2" w:rsidRDefault="004A5950" w:rsidP="004A595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Pomiar wskaźnika następuje w momencie rozpoczęcia przez uczestnika pierwszej formy wsparcia w projekcie.</w:t>
            </w:r>
          </w:p>
          <w:p w14:paraId="54BD40E7" w14:textId="08229AE3" w:rsidR="00413443" w:rsidRPr="00FF79C2" w:rsidRDefault="004A5950" w:rsidP="004A595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Każda osoba jest wykazywana tylko raz w ramach wskaźnika w danym projekcie, niezależnie od liczby form wsparcia, z których skorzystała.</w:t>
            </w:r>
          </w:p>
        </w:tc>
      </w:tr>
      <w:tr w:rsidR="00FF79C2" w:rsidRPr="00FF79C2" w14:paraId="11CDC26B" w14:textId="77777777" w:rsidTr="00960A8E">
        <w:tc>
          <w:tcPr>
            <w:tcW w:w="247" w:type="pct"/>
          </w:tcPr>
          <w:p w14:paraId="0AC6DA96" w14:textId="77777777" w:rsidR="00FF79C2" w:rsidRPr="00FF79C2" w:rsidRDefault="00FF79C2" w:rsidP="00FF79C2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043" w:type="pct"/>
          </w:tcPr>
          <w:p w14:paraId="1B740AB6" w14:textId="77777777" w:rsidR="00FF79C2" w:rsidRPr="00FF79C2" w:rsidRDefault="00FF79C2" w:rsidP="00FF79C2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FF79C2">
              <w:rPr>
                <w:rFonts w:ascii="Arial" w:eastAsia="Calibri" w:hAnsi="Arial" w:cs="Arial"/>
                <w:sz w:val="24"/>
                <w:szCs w:val="24"/>
              </w:rPr>
              <w:t>Liczba osób, które uzyskały</w:t>
            </w:r>
          </w:p>
          <w:p w14:paraId="4DCBACAD" w14:textId="77777777" w:rsidR="00FF79C2" w:rsidRPr="00FF79C2" w:rsidRDefault="00FF79C2" w:rsidP="00FF79C2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FF79C2">
              <w:rPr>
                <w:rFonts w:ascii="Arial" w:eastAsia="Calibri" w:hAnsi="Arial" w:cs="Arial"/>
                <w:sz w:val="24"/>
                <w:szCs w:val="24"/>
              </w:rPr>
              <w:t>kwalifikacje po opuszczeniu</w:t>
            </w:r>
          </w:p>
          <w:p w14:paraId="09BC72B4" w14:textId="3D32CA1A" w:rsidR="00FF79C2" w:rsidRPr="00FF79C2" w:rsidRDefault="00FF79C2" w:rsidP="00FF79C2">
            <w:pPr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FF79C2">
              <w:rPr>
                <w:rFonts w:ascii="Arial" w:eastAsia="Calibri" w:hAnsi="Arial" w:cs="Arial"/>
                <w:sz w:val="24"/>
                <w:szCs w:val="24"/>
              </w:rPr>
              <w:t>programu</w:t>
            </w:r>
            <w:r w:rsidR="00A2447A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</w:tc>
        <w:tc>
          <w:tcPr>
            <w:tcW w:w="496" w:type="pct"/>
          </w:tcPr>
          <w:p w14:paraId="1D891E70" w14:textId="129BCCA9" w:rsidR="00FF79C2" w:rsidRPr="00FF79C2" w:rsidRDefault="00FF79C2" w:rsidP="00FF79C2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eastAsia="Calibri" w:hAnsi="Arial" w:cs="Arial"/>
                <w:sz w:val="24"/>
                <w:szCs w:val="24"/>
              </w:rPr>
              <w:t>osoby</w:t>
            </w:r>
          </w:p>
        </w:tc>
        <w:tc>
          <w:tcPr>
            <w:tcW w:w="646" w:type="pct"/>
          </w:tcPr>
          <w:p w14:paraId="522D8D0D" w14:textId="42B271E3" w:rsidR="00FF79C2" w:rsidRPr="00FF79C2" w:rsidRDefault="00FF79C2" w:rsidP="00FF79C2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wskaźnik</w:t>
            </w:r>
          </w:p>
          <w:p w14:paraId="30616742" w14:textId="388908EF" w:rsidR="00FF79C2" w:rsidRPr="00FF79C2" w:rsidRDefault="00FF79C2" w:rsidP="00FF79C2">
            <w:pPr>
              <w:spacing w:after="6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rezultatu</w:t>
            </w:r>
          </w:p>
        </w:tc>
        <w:tc>
          <w:tcPr>
            <w:tcW w:w="2568" w:type="pct"/>
          </w:tcPr>
          <w:p w14:paraId="576A03F4" w14:textId="77777777" w:rsidR="00FF79C2" w:rsidRPr="00FF79C2" w:rsidRDefault="00FF79C2" w:rsidP="00FF79C2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Do wskaźnika wlicza się osoby, które otrzymały wsparcie EFS+ i uzyskały kwalifikacje lub kompetencje po opuszczeniu projektu. </w:t>
            </w:r>
          </w:p>
          <w:p w14:paraId="19269C28" w14:textId="77777777" w:rsidR="00FF79C2" w:rsidRPr="00FF79C2" w:rsidRDefault="00FF79C2" w:rsidP="00FF79C2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  <w:t xml:space="preserve">Kwalifikacje to określony zestaw efektów uczenia się w zakresie wiedzy, umiejętności oraz kompetencji społecznych nabytych w drodze edukacji formalnej, edukacji </w:t>
            </w:r>
            <w:proofErr w:type="spellStart"/>
            <w:r w:rsidRPr="00FF79C2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  <w:t>pozaformalnej</w:t>
            </w:r>
            <w:proofErr w:type="spellEnd"/>
            <w:r w:rsidRPr="00FF79C2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  <w:t xml:space="preserve"> lub poprzez uczenie się nieformalne, zgodnych z ustalonymi dla danej kwalifikacji wymaganiami, których osiągnięcie zostało sprawdzone w walidacji oraz formalnie potwierdzone przez instytucję uprawnioną do certyfikowania</w:t>
            </w:r>
          </w:p>
          <w:p w14:paraId="79416F50" w14:textId="77777777" w:rsidR="00FF79C2" w:rsidRPr="00FF79C2" w:rsidRDefault="00FF79C2" w:rsidP="00FF79C2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Kwalifikacje mogą być nadawane przez: </w:t>
            </w:r>
          </w:p>
          <w:p w14:paraId="5E584686" w14:textId="77777777" w:rsidR="00FF79C2" w:rsidRPr="00FF79C2" w:rsidRDefault="00FF79C2" w:rsidP="00FF79C2">
            <w:pPr>
              <w:numPr>
                <w:ilvl w:val="0"/>
                <w:numId w:val="22"/>
              </w:num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podmioty uprawnione do realizacji procesów walidacji i certyfikowania zgodnie z ustawą z dnia 22 grudnia 2015 r. o Zintegrowanym Systemie Kwalifikacji,</w:t>
            </w:r>
          </w:p>
          <w:p w14:paraId="7B966342" w14:textId="77777777" w:rsidR="00FF79C2" w:rsidRPr="00FF79C2" w:rsidRDefault="00FF79C2" w:rsidP="00FF79C2">
            <w:pPr>
              <w:numPr>
                <w:ilvl w:val="0"/>
                <w:numId w:val="22"/>
              </w:num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podmioty uprawnione do realizacji procesów walidacji i certyfikowania na mocy innych przepisów prawa,</w:t>
            </w:r>
          </w:p>
          <w:p w14:paraId="536AE059" w14:textId="77777777" w:rsidR="00FF79C2" w:rsidRPr="00FF79C2" w:rsidRDefault="00FF79C2" w:rsidP="00FF79C2">
            <w:pPr>
              <w:numPr>
                <w:ilvl w:val="0"/>
                <w:numId w:val="22"/>
              </w:num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podmioty uprawnione do wydawania dokumentów potwierdzających uzyskanie kwalifikacji, w tym w zawodzie,</w:t>
            </w:r>
          </w:p>
          <w:p w14:paraId="462D9C76" w14:textId="77777777" w:rsidR="00FF79C2" w:rsidRPr="00FF79C2" w:rsidRDefault="00FF79C2" w:rsidP="00FF79C2">
            <w:pPr>
              <w:numPr>
                <w:ilvl w:val="0"/>
                <w:numId w:val="22"/>
              </w:num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organy władz publicznych lub samorządów zawodowych, uprawnione do wydawania dokumentów potwierdzających kwalifikację na podstawie ustawy lub rozporządzenia.</w:t>
            </w:r>
          </w:p>
          <w:p w14:paraId="5ED82472" w14:textId="77777777" w:rsidR="00FF79C2" w:rsidRPr="00FF79C2" w:rsidRDefault="00FF79C2" w:rsidP="00FF79C2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Poza kwalifikacjami włączonymi do Zintegrowanego Systemu Kwalifikacji, można wskazać przykłady innych kwalifikacji, które mają znaczenie w określonych środowiskach działalności społecznej lub zawodowej oraz mają stworzony własny system walidacji i certyfikowania. Ponadto, pomimo braku regulacji ze strony państwa polskiego, kwalifikacjami są również certyfikaty, dla których wypracowano już system walidacji i certyfikowania efektów uczenia się na poziomie międzynarodowym.</w:t>
            </w:r>
          </w:p>
          <w:p w14:paraId="24FB117E" w14:textId="77777777" w:rsidR="00FF79C2" w:rsidRPr="00FF79C2" w:rsidRDefault="00FF79C2" w:rsidP="00FF79C2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Do wskaźnika wliczane są również osoby, które w wyniku realizacji projektu nabyły kompetencje, tj. wyodrębnione zestawy efektów uczenia się / kształcenia, które zostały sprawdzone w procesie walidacji w sposób zgodny z wymaganiami ustalonymi dla danej kompetencji, odnoszącymi się w szczególności do składających się na nią efektów uczenia się. </w:t>
            </w:r>
          </w:p>
          <w:p w14:paraId="4EDACDB6" w14:textId="77777777" w:rsidR="00FF79C2" w:rsidRPr="00FF79C2" w:rsidRDefault="00FF79C2" w:rsidP="00FF79C2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Fakt nabycia kompetencji jest weryfikowany w ramach następujących etapów: </w:t>
            </w:r>
          </w:p>
          <w:p w14:paraId="3B12AF23" w14:textId="77777777" w:rsidR="00FF79C2" w:rsidRPr="00FF79C2" w:rsidRDefault="00FF79C2" w:rsidP="00FF79C2">
            <w:pPr>
              <w:numPr>
                <w:ilvl w:val="0"/>
                <w:numId w:val="29"/>
              </w:num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ETAP I – Zakres – zdefiniowanie w ramach wniosku o dofinansowanie (w przypadku projektów) lub usługi (w przypadku Podmiotowego Systemu Finansowania) grupy docelowej do objęcia wsparciem oraz zakresu tematycznego wsparcia, który będzie poddany ocenie,</w:t>
            </w:r>
          </w:p>
          <w:p w14:paraId="56D59A65" w14:textId="77777777" w:rsidR="00FF79C2" w:rsidRPr="00FF79C2" w:rsidRDefault="00FF79C2" w:rsidP="00FF79C2">
            <w:pPr>
              <w:numPr>
                <w:ilvl w:val="0"/>
                <w:numId w:val="29"/>
              </w:num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ETAP II – Wzorzec – określony przed rozpoczęciem form wsparcia i zrealizowany w projekcie/usłudze standard </w:t>
            </w: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wymagań, tj. efektów uczenia się, które osiągną uczestnicy w wyniku przeprowadzonych działań (wraz z informacjami o kryteriach i metodach weryfikacji tych efektów). Sposób (miejsce) definiowania informacji wymaganych w etapie II powinien zostać określony przez instytucję organizującą konkurs/przeprowadzającą nabór projektów,</w:t>
            </w:r>
          </w:p>
          <w:p w14:paraId="5B90F5DF" w14:textId="77777777" w:rsidR="00FF79C2" w:rsidRPr="00FF79C2" w:rsidRDefault="00FF79C2" w:rsidP="00FF79C2">
            <w:pPr>
              <w:numPr>
                <w:ilvl w:val="0"/>
                <w:numId w:val="29"/>
              </w:num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ETAP III – Ocena – przeprowadzenie weryfikacji na podstawie kryteriów opisanych we wzorcu (etap II) po zakończeniu wsparcia udzielonego danej osobie, przy zachowaniu rozdzielności funkcji pomiędzy procesem kształcenia i walidacji (np. walidacja jest prowadzona przez zewnętrzny podmiot w stosunku do instytucji szkoleniowej lub w jednej instytucji szkoleniowej proces walidacji jest prowadzony przez inną osobę aniżeli proces kształcenia), </w:t>
            </w:r>
          </w:p>
          <w:p w14:paraId="63355C67" w14:textId="77777777" w:rsidR="00FF79C2" w:rsidRPr="00FF79C2" w:rsidRDefault="00FF79C2" w:rsidP="00FF79C2">
            <w:pPr>
              <w:pStyle w:val="Akapitzlist"/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ETAP IV – Porównanie – porównanie uzyskanych wyników etapu III (ocena) z przyjętymi wymaganiami (określonymi na etapie II efektami uczenia się) po zakończeniu wsparcia udzielanego danej osobie. Nabycie kompetencji potwierdzone jest uzyskaniem dokumentu</w:t>
            </w:r>
            <w:r w:rsidRPr="00FF79C2">
              <w:rPr>
                <w:rFonts w:ascii="Arial" w:hAnsi="Arial" w:cs="Arial"/>
                <w:sz w:val="24"/>
                <w:szCs w:val="24"/>
              </w:rPr>
              <w:t xml:space="preserve"> zawierającego wyszczególnione efekty uczenia się odnoszące się do nabytej kompetencji. </w:t>
            </w:r>
          </w:p>
          <w:p w14:paraId="1126C6F1" w14:textId="77777777" w:rsidR="00FF79C2" w:rsidRPr="00FF79C2" w:rsidRDefault="00FF79C2" w:rsidP="00FF79C2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Przez efekty uczenia się należy rozumieć wiedzę, umiejętności oraz kompetencje społeczne nabyte w edukacji formalnej, edukacji </w:t>
            </w:r>
            <w:proofErr w:type="spellStart"/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pozaformalnej</w:t>
            </w:r>
            <w:proofErr w:type="spellEnd"/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lub poprzez uczenie się nieformalne, zgodne z ustalonymi dla danej kwalifikacji lub kompetencji wymaganiami. </w:t>
            </w:r>
          </w:p>
          <w:p w14:paraId="17AAD821" w14:textId="77777777" w:rsidR="00FF79C2" w:rsidRPr="00FF79C2" w:rsidRDefault="00FF79C2" w:rsidP="00FF79C2">
            <w:pPr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 xml:space="preserve">Wykazywać należy wyłącznie kwalifikacje lub kompetencje osiągnięte w wyniku </w:t>
            </w: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udziału w projekcie EFS+. Powinny one być wykazywane tylko raz dla uczestnika/projektu. </w:t>
            </w:r>
          </w:p>
          <w:p w14:paraId="103235E5" w14:textId="77777777" w:rsidR="00FF79C2" w:rsidRPr="00FF79C2" w:rsidRDefault="00FF79C2" w:rsidP="00FF79C2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Do wskaźnika należy wliczać jedynie osoby, które uzyskały kwalifikacje /kompetencje w trakcie lub bezpośrednio po zakończeniu udziału w projekcie, tj. w ciągu czterech tygodni, które minęły od momentu zakończenia udziału w projekcie.</w:t>
            </w:r>
          </w:p>
          <w:p w14:paraId="714A45BD" w14:textId="77777777" w:rsidR="00FF79C2" w:rsidRPr="00FF79C2" w:rsidRDefault="00FF79C2" w:rsidP="00FF79C2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FF79C2">
              <w:rPr>
                <w:rFonts w:ascii="Arial" w:hAnsi="Arial" w:cs="Arial"/>
                <w:sz w:val="24"/>
                <w:szCs w:val="24"/>
              </w:rPr>
              <w:t>Jeżeli okres oczekiwania na wyniki walidacji/certyfikacji jest dłuższy niż cztery tygodnie od zakończenia udziału w projekcie, ale egzamin odbył się w trakcie tych czterech tygodni, wówczas można uwzględnić osoby we wskaźniku (po otrzymaniu wyników). We wskaźniku należy uwzględnić jednak tylko te osoby, które otrzymały wyniki do czasu ostatecznego rozliczenia projektu.</w:t>
            </w:r>
          </w:p>
          <w:p w14:paraId="496262AA" w14:textId="77777777" w:rsidR="00FF79C2" w:rsidRPr="00FF79C2" w:rsidRDefault="00FF79C2" w:rsidP="00FF79C2">
            <w:pPr>
              <w:spacing w:after="120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 w:rsidRPr="00FF79C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Dodatkowe informacje na temat monitorowania uzyskiwania kwalifikacji i kompetencji w ramach projektów współfinansowanych z EFS+ zawarte są w załączniku nr 2 do </w:t>
            </w:r>
            <w:r w:rsidRPr="00FF79C2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Wytycznych w zakresie monitorowania postępu rzeczowego realizacji programów operacyjnych na lata 2021-2027.</w:t>
            </w:r>
          </w:p>
          <w:p w14:paraId="23C32E23" w14:textId="4C97BCCA" w:rsidR="00FF79C2" w:rsidRPr="00FF79C2" w:rsidRDefault="00FF79C2" w:rsidP="00FF79C2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0"/>
    <w:p w14:paraId="3F25747D" w14:textId="5879DC37" w:rsidR="00F01F0B" w:rsidRPr="00FF79C2" w:rsidRDefault="00F01F0B" w:rsidP="00477564">
      <w:pPr>
        <w:spacing w:before="240" w:after="0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lastRenderedPageBreak/>
        <w:t>Dodatkowo, wnioskodawca zobowiązany jest wskazać we wniosku o dofinansowanie projektu na etapie aplikowania</w:t>
      </w:r>
      <w:r w:rsidR="009A0610" w:rsidRPr="00FF79C2">
        <w:rPr>
          <w:rFonts w:ascii="Arial" w:hAnsi="Arial" w:cs="Arial"/>
          <w:iCs/>
          <w:sz w:val="24"/>
          <w:szCs w:val="24"/>
        </w:rPr>
        <w:t xml:space="preserve"> (wraz ze wskazaniem sposobu pomiaru i źródła pomiaru wskaźnika)</w:t>
      </w:r>
      <w:r w:rsidRPr="00FF79C2">
        <w:rPr>
          <w:rFonts w:ascii="Arial" w:hAnsi="Arial" w:cs="Arial"/>
          <w:iCs/>
          <w:sz w:val="24"/>
          <w:szCs w:val="24"/>
        </w:rPr>
        <w:t xml:space="preserve">, a następnie monitorować </w:t>
      </w:r>
      <w:bookmarkStart w:id="1" w:name="_Hlk129251206"/>
      <w:r w:rsidRPr="00FF79C2">
        <w:rPr>
          <w:rFonts w:ascii="Arial" w:hAnsi="Arial" w:cs="Arial"/>
          <w:iCs/>
          <w:sz w:val="24"/>
          <w:szCs w:val="24"/>
        </w:rPr>
        <w:t xml:space="preserve">na podstawie składanych wniosków o płatność </w:t>
      </w:r>
      <w:bookmarkEnd w:id="1"/>
      <w:r w:rsidRPr="00FF79C2">
        <w:rPr>
          <w:rFonts w:ascii="Arial" w:hAnsi="Arial" w:cs="Arial"/>
          <w:iCs/>
          <w:sz w:val="24"/>
          <w:szCs w:val="24"/>
        </w:rPr>
        <w:lastRenderedPageBreak/>
        <w:t xml:space="preserve">(zgodnie z Wytycznymi dotyczącymi monitorowania postępu rzeczowego realizacji programów operacyjnych na lata 2021-2027) na etapie realizacji projektu wszystkie wymienione poniżej wskaźniki kluczowe określone dla wszystkich celów szczegółowych tj. </w:t>
      </w:r>
    </w:p>
    <w:p w14:paraId="341F5B72" w14:textId="735377B1" w:rsidR="00A66A4C" w:rsidRPr="00FF79C2" w:rsidRDefault="00A66A4C" w:rsidP="00A66A4C">
      <w:pPr>
        <w:pStyle w:val="Akapitzlist"/>
        <w:numPr>
          <w:ilvl w:val="0"/>
          <w:numId w:val="2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Liczba projektów, w których sfinansowano koszty racjonalnych usprawnień dla osób z niepełnosprawnościami,</w:t>
      </w:r>
    </w:p>
    <w:p w14:paraId="1AF2BFD8" w14:textId="6423A840" w:rsidR="00F01F0B" w:rsidRPr="00FF79C2" w:rsidRDefault="00F01F0B" w:rsidP="00477564">
      <w:pPr>
        <w:pStyle w:val="Akapitzlist"/>
        <w:numPr>
          <w:ilvl w:val="0"/>
          <w:numId w:val="2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Liczba obiektów dostosowanych do potrzeb osób z niepełnosprawnościami</w:t>
      </w:r>
      <w:r w:rsidR="00A66A4C" w:rsidRPr="00FF79C2">
        <w:rPr>
          <w:rFonts w:ascii="Arial" w:hAnsi="Arial" w:cs="Arial"/>
          <w:iCs/>
          <w:sz w:val="24"/>
          <w:szCs w:val="24"/>
        </w:rPr>
        <w:t>;</w:t>
      </w:r>
    </w:p>
    <w:p w14:paraId="1020A681" w14:textId="155712C0" w:rsidR="00F01F0B" w:rsidRPr="00FF79C2" w:rsidRDefault="00F01F0B" w:rsidP="00477564">
      <w:pPr>
        <w:spacing w:after="0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inne wspólne wskaźniki produktu tj.</w:t>
      </w:r>
    </w:p>
    <w:p w14:paraId="4FA06BC5" w14:textId="14FF49C0" w:rsidR="00F01F0B" w:rsidRPr="00FF79C2" w:rsidRDefault="00F01F0B" w:rsidP="00477564">
      <w:pPr>
        <w:pStyle w:val="Akapitzlist"/>
        <w:numPr>
          <w:ilvl w:val="0"/>
          <w:numId w:val="1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Liczba osób z niepełnosprawnościami objętych wsparciem w programie</w:t>
      </w:r>
      <w:r w:rsidR="00BB161F" w:rsidRPr="00FF79C2">
        <w:rPr>
          <w:rFonts w:ascii="Arial" w:hAnsi="Arial" w:cs="Arial"/>
          <w:iCs/>
          <w:sz w:val="24"/>
          <w:szCs w:val="24"/>
        </w:rPr>
        <w:t>,</w:t>
      </w:r>
    </w:p>
    <w:p w14:paraId="5853344A" w14:textId="11659B39" w:rsidR="00F01F0B" w:rsidRPr="00FF79C2" w:rsidRDefault="00F01F0B" w:rsidP="00477564">
      <w:pPr>
        <w:pStyle w:val="Akapitzlist"/>
        <w:numPr>
          <w:ilvl w:val="0"/>
          <w:numId w:val="1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Liczba osób z krajów trzecich objętych wsparciem w programie</w:t>
      </w:r>
      <w:r w:rsidR="00BB161F" w:rsidRPr="00FF79C2">
        <w:rPr>
          <w:rFonts w:ascii="Arial" w:hAnsi="Arial" w:cs="Arial"/>
          <w:iCs/>
          <w:sz w:val="24"/>
          <w:szCs w:val="24"/>
        </w:rPr>
        <w:t>,</w:t>
      </w:r>
    </w:p>
    <w:p w14:paraId="0B09DEEA" w14:textId="6B37CA1B" w:rsidR="00F01F0B" w:rsidRPr="00FF79C2" w:rsidRDefault="00F01F0B" w:rsidP="00477564">
      <w:pPr>
        <w:pStyle w:val="Akapitzlist"/>
        <w:numPr>
          <w:ilvl w:val="0"/>
          <w:numId w:val="1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Liczba osób obcego pochodzenia objętych wsparciem w programie</w:t>
      </w:r>
      <w:r w:rsidR="00BB161F" w:rsidRPr="00FF79C2">
        <w:rPr>
          <w:rFonts w:ascii="Arial" w:hAnsi="Arial" w:cs="Arial"/>
          <w:iCs/>
          <w:sz w:val="24"/>
          <w:szCs w:val="24"/>
        </w:rPr>
        <w:t>,</w:t>
      </w:r>
    </w:p>
    <w:p w14:paraId="14B97D4B" w14:textId="090DFEC6" w:rsidR="00F01F0B" w:rsidRPr="00FF79C2" w:rsidRDefault="00F01F0B" w:rsidP="00477564">
      <w:pPr>
        <w:pStyle w:val="Akapitzlist"/>
        <w:numPr>
          <w:ilvl w:val="0"/>
          <w:numId w:val="1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Liczba osób należących do mniejszości, w tym społeczności marginalizowanych takich jak Romowie, objętych wsparciem w programie</w:t>
      </w:r>
      <w:r w:rsidR="00BB161F" w:rsidRPr="00FF79C2">
        <w:rPr>
          <w:rFonts w:ascii="Arial" w:hAnsi="Arial" w:cs="Arial"/>
          <w:iCs/>
          <w:sz w:val="24"/>
          <w:szCs w:val="24"/>
        </w:rPr>
        <w:t>,</w:t>
      </w:r>
    </w:p>
    <w:p w14:paraId="2B086842" w14:textId="77777777" w:rsidR="00F01F0B" w:rsidRPr="00FF79C2" w:rsidRDefault="00F01F0B" w:rsidP="00477564">
      <w:pPr>
        <w:pStyle w:val="Akapitzlist"/>
        <w:numPr>
          <w:ilvl w:val="0"/>
          <w:numId w:val="1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Liczba osób w kryzysie bezdomności lub dotkniętych wykluczeniem z dostępu do mieszkań, objętych wsparciem w programie;</w:t>
      </w:r>
    </w:p>
    <w:p w14:paraId="7C9486C9" w14:textId="77777777" w:rsidR="00F01F0B" w:rsidRPr="00FF79C2" w:rsidRDefault="00F01F0B" w:rsidP="00477564">
      <w:pPr>
        <w:spacing w:after="0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oraz wspólne wskaźniki produktu dotyczące podmiotów tj.</w:t>
      </w:r>
    </w:p>
    <w:p w14:paraId="6903D2EA" w14:textId="36E3AF88" w:rsidR="00F01F0B" w:rsidRPr="00FF79C2" w:rsidRDefault="00F01F0B" w:rsidP="00477564">
      <w:pPr>
        <w:pStyle w:val="Akapitzlist"/>
        <w:numPr>
          <w:ilvl w:val="0"/>
          <w:numId w:val="3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Liczba objętych wsparciem podmiotów administracji publicznej lub służb publicznych na szczeblu krajowym, regionalnym lub lokalnym</w:t>
      </w:r>
      <w:r w:rsidR="00BB161F" w:rsidRPr="00FF79C2">
        <w:rPr>
          <w:rFonts w:ascii="Arial" w:hAnsi="Arial" w:cs="Arial"/>
          <w:iCs/>
          <w:sz w:val="24"/>
          <w:szCs w:val="24"/>
        </w:rPr>
        <w:t>,</w:t>
      </w:r>
    </w:p>
    <w:p w14:paraId="52BF4BA0" w14:textId="77777777" w:rsidR="00F01F0B" w:rsidRPr="00FF79C2" w:rsidRDefault="00F01F0B" w:rsidP="00477564">
      <w:pPr>
        <w:pStyle w:val="Akapitzlist"/>
        <w:numPr>
          <w:ilvl w:val="0"/>
          <w:numId w:val="3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Liczba objętych wsparciem mikro-, małych i średnich przedsiębiorstw (w tym spółdzielni i przedsiębiorstw społecznych).</w:t>
      </w:r>
    </w:p>
    <w:p w14:paraId="0FC51331" w14:textId="2C345776" w:rsidR="00F01F0B" w:rsidRPr="00FF79C2" w:rsidRDefault="00F01F0B" w:rsidP="00477564">
      <w:pPr>
        <w:spacing w:after="240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Wartość docelowa powyższych wskaźników może wynosić 0, co nie zwalnia z</w:t>
      </w:r>
      <w:r w:rsidR="00262EB8" w:rsidRPr="00FF79C2">
        <w:rPr>
          <w:rFonts w:ascii="Arial" w:hAnsi="Arial" w:cs="Arial"/>
          <w:iCs/>
          <w:sz w:val="24"/>
          <w:szCs w:val="24"/>
        </w:rPr>
        <w:t> </w:t>
      </w:r>
      <w:r w:rsidRPr="00FF79C2">
        <w:rPr>
          <w:rFonts w:ascii="Arial" w:hAnsi="Arial" w:cs="Arial"/>
          <w:iCs/>
          <w:sz w:val="24"/>
          <w:szCs w:val="24"/>
        </w:rPr>
        <w:t>obowiązku ich monitorowania.</w:t>
      </w:r>
    </w:p>
    <w:p w14:paraId="6F0C044F" w14:textId="3F793282" w:rsidR="009A0610" w:rsidRPr="00FF79C2" w:rsidRDefault="009A0610" w:rsidP="00477564">
      <w:pPr>
        <w:spacing w:after="240"/>
        <w:rPr>
          <w:rFonts w:ascii="Arial" w:hAnsi="Arial" w:cs="Arial"/>
          <w:iCs/>
          <w:sz w:val="24"/>
          <w:szCs w:val="24"/>
        </w:rPr>
      </w:pPr>
      <w:r w:rsidRPr="00FF79C2">
        <w:rPr>
          <w:rFonts w:ascii="Arial" w:hAnsi="Arial" w:cs="Arial"/>
          <w:iCs/>
          <w:sz w:val="24"/>
          <w:szCs w:val="24"/>
        </w:rPr>
        <w:t>W przypadku innych wspólnych wskaźników produktu IZ zobowiązuje Beneficjentów do zbierania danych osobowych dotyczących wskaźników; nie ma możliwości wykorzystywania szacunków.</w:t>
      </w: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Wykaz wskaźników dotyczących Działania 10.3"/>
        <w:tblDescription w:val="Tabela zawiera wykaz wskaźników. Dla każdego wskaźnika wskazano jednostkę miary, rodzaj wskaźnika oraz definicję. "/>
      </w:tblPr>
      <w:tblGrid>
        <w:gridCol w:w="716"/>
        <w:gridCol w:w="3292"/>
        <w:gridCol w:w="1432"/>
        <w:gridCol w:w="1718"/>
        <w:gridCol w:w="7280"/>
      </w:tblGrid>
      <w:tr w:rsidR="00F01F0B" w:rsidRPr="00FF79C2" w14:paraId="63523CB8" w14:textId="77777777" w:rsidTr="009C61A6">
        <w:trPr>
          <w:tblHeader/>
        </w:trPr>
        <w:tc>
          <w:tcPr>
            <w:tcW w:w="248" w:type="pct"/>
            <w:vAlign w:val="center"/>
          </w:tcPr>
          <w:p w14:paraId="167DFF04" w14:textId="77777777" w:rsidR="00F01F0B" w:rsidRPr="00FF79C2" w:rsidRDefault="00F01F0B" w:rsidP="00477564">
            <w:pPr>
              <w:pStyle w:val="Akapitzlist"/>
              <w:tabs>
                <w:tab w:val="left" w:pos="360"/>
              </w:tabs>
              <w:spacing w:after="120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b/>
                <w:iCs/>
                <w:sz w:val="24"/>
                <w:szCs w:val="24"/>
              </w:rPr>
              <w:t>Lp.</w:t>
            </w:r>
          </w:p>
        </w:tc>
        <w:tc>
          <w:tcPr>
            <w:tcW w:w="1140" w:type="pct"/>
            <w:vAlign w:val="center"/>
          </w:tcPr>
          <w:p w14:paraId="7AAD097A" w14:textId="77777777" w:rsidR="00F01F0B" w:rsidRPr="00FF79C2" w:rsidRDefault="00F01F0B" w:rsidP="00477564">
            <w:pPr>
              <w:spacing w:after="120"/>
              <w:jc w:val="center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b/>
                <w:iCs/>
                <w:sz w:val="24"/>
                <w:szCs w:val="24"/>
              </w:rPr>
              <w:t>Nazwa wskaźnika</w:t>
            </w:r>
          </w:p>
        </w:tc>
        <w:tc>
          <w:tcPr>
            <w:tcW w:w="496" w:type="pct"/>
            <w:vAlign w:val="center"/>
          </w:tcPr>
          <w:p w14:paraId="5B518308" w14:textId="77777777" w:rsidR="00F01F0B" w:rsidRPr="00FF79C2" w:rsidRDefault="00F01F0B" w:rsidP="00477564">
            <w:pPr>
              <w:spacing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b/>
                <w:iCs/>
                <w:sz w:val="24"/>
                <w:szCs w:val="24"/>
              </w:rPr>
              <w:t>Jednostka miary</w:t>
            </w:r>
          </w:p>
        </w:tc>
        <w:tc>
          <w:tcPr>
            <w:tcW w:w="595" w:type="pct"/>
            <w:vAlign w:val="center"/>
          </w:tcPr>
          <w:p w14:paraId="611CB188" w14:textId="77777777" w:rsidR="00F01F0B" w:rsidRPr="00FF79C2" w:rsidRDefault="00F01F0B" w:rsidP="00477564">
            <w:pPr>
              <w:spacing w:after="12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b/>
                <w:iCs/>
                <w:sz w:val="24"/>
                <w:szCs w:val="24"/>
              </w:rPr>
              <w:t>Rodzaj wskaźnika</w:t>
            </w:r>
          </w:p>
        </w:tc>
        <w:tc>
          <w:tcPr>
            <w:tcW w:w="2521" w:type="pct"/>
            <w:vAlign w:val="center"/>
          </w:tcPr>
          <w:p w14:paraId="24D39044" w14:textId="77777777" w:rsidR="00F01F0B" w:rsidRPr="00FF79C2" w:rsidRDefault="00F01F0B" w:rsidP="00477564">
            <w:pPr>
              <w:pStyle w:val="Default"/>
              <w:spacing w:after="120" w:line="276" w:lineRule="auto"/>
              <w:jc w:val="center"/>
              <w:rPr>
                <w:iCs/>
                <w:color w:val="auto"/>
              </w:rPr>
            </w:pPr>
            <w:r w:rsidRPr="00FF79C2">
              <w:rPr>
                <w:b/>
                <w:iCs/>
              </w:rPr>
              <w:t>Definicja</w:t>
            </w:r>
          </w:p>
        </w:tc>
      </w:tr>
      <w:tr w:rsidR="00A66A4C" w:rsidRPr="00FF79C2" w14:paraId="4F3DE0EF" w14:textId="77777777" w:rsidTr="009C61A6">
        <w:tc>
          <w:tcPr>
            <w:tcW w:w="248" w:type="pct"/>
          </w:tcPr>
          <w:p w14:paraId="4283B4EA" w14:textId="77777777" w:rsidR="00A66A4C" w:rsidRPr="00FF79C2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40" w:type="pct"/>
          </w:tcPr>
          <w:p w14:paraId="51C058D0" w14:textId="59625896" w:rsidR="00A66A4C" w:rsidRPr="00FF79C2" w:rsidRDefault="00A66A4C" w:rsidP="00A66A4C">
            <w:pPr>
              <w:spacing w:after="0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Liczba projektów, w których sfinansowano koszty racjonalnych usprawnień dla osób z niepełnosprawnościami.</w:t>
            </w:r>
          </w:p>
        </w:tc>
        <w:tc>
          <w:tcPr>
            <w:tcW w:w="496" w:type="pct"/>
          </w:tcPr>
          <w:p w14:paraId="5B1BFB4D" w14:textId="2CED5ACB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sztuki</w:t>
            </w:r>
          </w:p>
        </w:tc>
        <w:tc>
          <w:tcPr>
            <w:tcW w:w="595" w:type="pct"/>
          </w:tcPr>
          <w:p w14:paraId="5B84ADB6" w14:textId="28C0F198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 xml:space="preserve">wskaźnik produktu </w:t>
            </w:r>
          </w:p>
        </w:tc>
        <w:tc>
          <w:tcPr>
            <w:tcW w:w="2521" w:type="pct"/>
          </w:tcPr>
          <w:p w14:paraId="0D011183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 xml:space="preserve">Racjonalne usprawnienie oznacza konieczne i odpowiednie zmiany oraz dostosowania, nie nakładające nieproporcjonalnego lub nadmiernego obciążenia, rozpatrywane osobno dla każdego konkretnego przypadku, w celu zapewnienia osobom z niepełnosprawnościami możliwości korzystania z wszelkich praw </w:t>
            </w:r>
            <w:r w:rsidRPr="00FF79C2">
              <w:rPr>
                <w:iCs/>
                <w:color w:val="auto"/>
                <w:lang w:eastAsia="pl-PL"/>
              </w:rPr>
              <w:lastRenderedPageBreak/>
              <w:t>człowieka i podstawowych wolności oraz ich wykonywania na zasadzie równości z innymi osobami.</w:t>
            </w:r>
          </w:p>
          <w:p w14:paraId="7D099864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Wskaźnik mierzony jest w momencie rozliczenia wydatku związanego z racjonalnymi usprawnieniami w ramach danego projektu. Tym samym, jego wartość początkowa wynosi 0.</w:t>
            </w:r>
          </w:p>
          <w:p w14:paraId="7428314E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Przykłady racjonalnych usprawnień: tłumacz języka migowego, transport niskopodłogowy, dostosowanie infrastruktury (nie tylko budynku, ale też dostosowanie infrastruktury komputerowej np. programy powiększające, mówiące, drukarki materiałów w alfabecie Braille'a), osoby asystujące.</w:t>
            </w:r>
          </w:p>
          <w:p w14:paraId="44F87CA4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Do wskaźnika powinny zostać wliczone zarówno projekty ogólnodostępne, w których sfinansowano koszty racjonalnych usprawnień, jak i te ukierunkowane na zwalczanie i zapobieganie wszelkim formom dyskryminacji w stosunku do osób na nią narażonych, a także zwiększanie dostępności dla osób z niepełnosprawnościami.</w:t>
            </w:r>
          </w:p>
          <w:p w14:paraId="0BD26A6F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Na poziomie projektu wskaźnik może przyjmować maksymalną wartość 1 - co oznacza jeden projekt, w którym sfinansowano koszty racjonalnych usprawnień dla osób z niepełnosprawnościami. Liczba sfinansowanych racjonalnych usprawnień, w ramach projektu, nie ma znaczenia dla wartości wykazywanej we wskaźniku.</w:t>
            </w:r>
          </w:p>
          <w:p w14:paraId="0C08F8CF" w14:textId="2249E969" w:rsidR="00A66A4C" w:rsidRPr="00FF79C2" w:rsidRDefault="00A66A4C" w:rsidP="00A66A4C">
            <w:pPr>
              <w:pStyle w:val="Default"/>
              <w:spacing w:after="120" w:line="276" w:lineRule="auto"/>
              <w:rPr>
                <w:color w:val="auto"/>
              </w:rPr>
            </w:pPr>
            <w:r w:rsidRPr="00FF79C2">
              <w:rPr>
                <w:iCs/>
                <w:color w:val="auto"/>
                <w:lang w:eastAsia="pl-PL"/>
              </w:rPr>
              <w:lastRenderedPageBreak/>
              <w:t>Definicja na podstawie: Wytyczne w zakresie realizacji zasad równościowych w ramach funduszy unijnych na lata 2021-2027.</w:t>
            </w:r>
          </w:p>
        </w:tc>
      </w:tr>
      <w:tr w:rsidR="00A66A4C" w:rsidRPr="00FF79C2" w14:paraId="5DBEF803" w14:textId="77777777" w:rsidTr="009C61A6">
        <w:tc>
          <w:tcPr>
            <w:tcW w:w="248" w:type="pct"/>
          </w:tcPr>
          <w:p w14:paraId="64F04BA3" w14:textId="2CDF606D" w:rsidR="00A66A4C" w:rsidRPr="00FF79C2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40" w:type="pct"/>
          </w:tcPr>
          <w:p w14:paraId="7192A286" w14:textId="19DD4D12" w:rsidR="00A66A4C" w:rsidRPr="00FF79C2" w:rsidRDefault="00A66A4C" w:rsidP="00A66A4C">
            <w:pPr>
              <w:spacing w:after="0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Liczba obiektów dostosowanych do potrzeb osób z niepełnosprawnościami.</w:t>
            </w:r>
          </w:p>
        </w:tc>
        <w:tc>
          <w:tcPr>
            <w:tcW w:w="496" w:type="pct"/>
          </w:tcPr>
          <w:p w14:paraId="2171E79E" w14:textId="2C6602B4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</w:rPr>
              <w:t>sztuki</w:t>
            </w:r>
          </w:p>
        </w:tc>
        <w:tc>
          <w:tcPr>
            <w:tcW w:w="595" w:type="pct"/>
          </w:tcPr>
          <w:p w14:paraId="29CF5278" w14:textId="2426E382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</w:rPr>
              <w:t xml:space="preserve">wskaźnik produktu </w:t>
            </w:r>
          </w:p>
        </w:tc>
        <w:tc>
          <w:tcPr>
            <w:tcW w:w="2521" w:type="pct"/>
          </w:tcPr>
          <w:p w14:paraId="69295E84" w14:textId="28DB50E6" w:rsidR="00A66A4C" w:rsidRPr="00FF79C2" w:rsidRDefault="00A66A4C" w:rsidP="00A66A4C">
            <w:pPr>
              <w:pStyle w:val="Default"/>
              <w:spacing w:after="120" w:line="276" w:lineRule="auto"/>
              <w:rPr>
                <w:color w:val="auto"/>
              </w:rPr>
            </w:pPr>
            <w:r w:rsidRPr="00FF79C2">
              <w:rPr>
                <w:color w:val="auto"/>
              </w:rPr>
              <w:t xml:space="preserve">Wskaźnik odnosi się do liczby obiektów w ramach realizowanego projektu, które zaopatrzono w specjalne podjazdy, windy, urządzenia głośnomówiące, bądź inne udogodnienia (tj. usunięcie barier w dostępie, w szczególności barier architektonicznych) ułatwiające dostęp do </w:t>
            </w:r>
            <w:r w:rsidRPr="00FF79C2">
              <w:rPr>
                <w:iCs/>
                <w:color w:val="auto"/>
                <w:lang w:eastAsia="pl-PL"/>
              </w:rPr>
              <w:t>tych obiektów i poruszanie się po nich osobom z niepełnosprawnościami, w szczególności ruchowymi czy sensorycznymi.</w:t>
            </w:r>
          </w:p>
          <w:p w14:paraId="694E9818" w14:textId="4CD4FEC8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Jako obiekty należy rozumieć konstrukcje połączone z gruntem w sposób trwały, wykonane z materiałów budowlanych i elementów składowych, będące wynikiem prac budowlanych (wg. def. PKOB).</w:t>
            </w:r>
          </w:p>
          <w:p w14:paraId="2A9F5662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Należy podać liczbę obiektów, a nie sprzętów, urządzeń itp., w które obiekty zaopatrzono. Jeśli instytucja, zakład itp. składa się z kilku obiektów, należy zliczyć wszystkie, które dostosowano do potrzeb osób z niepełnosprawnościami.</w:t>
            </w:r>
          </w:p>
          <w:p w14:paraId="69397EB6" w14:textId="1801DA91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Wskaźnik mierzony w momencie</w:t>
            </w:r>
            <w:r w:rsidRPr="00FF79C2">
              <w:rPr>
                <w:color w:val="auto"/>
              </w:rPr>
              <w:t xml:space="preserve"> rozliczenia wydatku związanego z</w:t>
            </w:r>
            <w:r w:rsidR="0036147B" w:rsidRPr="00FF79C2">
              <w:rPr>
                <w:color w:val="auto"/>
              </w:rPr>
              <w:t> </w:t>
            </w:r>
            <w:r w:rsidRPr="00FF79C2">
              <w:rPr>
                <w:color w:val="auto"/>
              </w:rPr>
              <w:t>wyposażeniem obiektów w rozwiązania służące osobom z</w:t>
            </w:r>
            <w:r w:rsidRPr="00FF79C2">
              <w:rPr>
                <w:iCs/>
                <w:color w:val="auto"/>
                <w:lang w:eastAsia="pl-PL"/>
              </w:rPr>
              <w:t xml:space="preserve"> </w:t>
            </w:r>
            <w:r w:rsidRPr="00FF79C2">
              <w:rPr>
                <w:color w:val="auto"/>
              </w:rPr>
              <w:t>niepełnosprawnościami w ramach danego projektu.</w:t>
            </w:r>
          </w:p>
        </w:tc>
      </w:tr>
      <w:tr w:rsidR="00A66A4C" w:rsidRPr="00FF79C2" w14:paraId="1616D187" w14:textId="77777777" w:rsidTr="009C61A6">
        <w:tc>
          <w:tcPr>
            <w:tcW w:w="248" w:type="pct"/>
          </w:tcPr>
          <w:p w14:paraId="2FC5B706" w14:textId="06A9CE6F" w:rsidR="00A66A4C" w:rsidRPr="00FF79C2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40" w:type="pct"/>
          </w:tcPr>
          <w:p w14:paraId="4F0B1E19" w14:textId="566CAF35" w:rsidR="00A66A4C" w:rsidRPr="00FF79C2" w:rsidRDefault="00A66A4C" w:rsidP="00A66A4C">
            <w:pPr>
              <w:spacing w:after="0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 xml:space="preserve">Liczba osób z niepełnosprawnościami objętych wsparciem w programie. </w:t>
            </w:r>
          </w:p>
        </w:tc>
        <w:tc>
          <w:tcPr>
            <w:tcW w:w="496" w:type="pct"/>
          </w:tcPr>
          <w:p w14:paraId="788E8968" w14:textId="03DED7B4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osoby</w:t>
            </w:r>
          </w:p>
        </w:tc>
        <w:tc>
          <w:tcPr>
            <w:tcW w:w="595" w:type="pct"/>
          </w:tcPr>
          <w:p w14:paraId="0F3A634E" w14:textId="35CDEDE5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wskaźnik produktu</w:t>
            </w:r>
          </w:p>
        </w:tc>
        <w:tc>
          <w:tcPr>
            <w:tcW w:w="2521" w:type="pct"/>
          </w:tcPr>
          <w:p w14:paraId="7A9DE3AF" w14:textId="6F9C91DB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Za osoby z niepełnosprawnościami uznaje się osoby niepełnosprawne w świetle przepisów ustawy z dnia 27 sierpnia 1997 r. o rehabilitacji zawodowej i społecznej oraz zatrudnianiu osób niepełnosprawnych, a</w:t>
            </w:r>
            <w:r w:rsidR="0036147B" w:rsidRPr="00FF79C2">
              <w:rPr>
                <w:iCs/>
                <w:color w:val="auto"/>
                <w:lang w:eastAsia="pl-PL"/>
              </w:rPr>
              <w:t> </w:t>
            </w:r>
            <w:r w:rsidRPr="00FF79C2">
              <w:rPr>
                <w:iCs/>
                <w:color w:val="auto"/>
                <w:lang w:eastAsia="pl-PL"/>
              </w:rPr>
              <w:t xml:space="preserve">także osoby z zaburzeniami </w:t>
            </w:r>
            <w:r w:rsidRPr="00FF79C2">
              <w:rPr>
                <w:iCs/>
                <w:color w:val="auto"/>
                <w:lang w:eastAsia="pl-PL"/>
              </w:rPr>
              <w:lastRenderedPageBreak/>
              <w:t>psychicznymi, o których mowa w ustawie z dnia 19 sierpnia 1994 r. o ochronie zdrowia psychicznego tj. osoby z odpowiednim orzeczeniem lub innym dokumentem poświadczającym stan zdrowia.</w:t>
            </w:r>
          </w:p>
          <w:p w14:paraId="4BFC66E3" w14:textId="768547C2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orzekający działający w publicznej poradni psychologicznopedagogicznej, w tym poradni specjalistycznej.</w:t>
            </w:r>
          </w:p>
          <w:p w14:paraId="350C00EB" w14:textId="2DCA67DE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Przynależność do grupy osób z niepełnosprawnościami określana jest w</w:t>
            </w:r>
            <w:r w:rsidR="0036147B" w:rsidRPr="00FF79C2">
              <w:rPr>
                <w:iCs/>
                <w:color w:val="auto"/>
                <w:lang w:eastAsia="pl-PL"/>
              </w:rPr>
              <w:t> </w:t>
            </w:r>
            <w:r w:rsidRPr="00FF79C2">
              <w:rPr>
                <w:iCs/>
                <w:color w:val="auto"/>
                <w:lang w:eastAsia="pl-PL"/>
              </w:rPr>
              <w:t>momencie rozpoczęcia udziału w projekcie, tj. w chwili rozpoczęcia udziału w pierwszej formie wsparcia w projekcie.</w:t>
            </w:r>
          </w:p>
          <w:p w14:paraId="71BDC46F" w14:textId="0B7312CE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 xml:space="preserve">W przypadku, gdy niepełnosprawność jest kryterium umożliwiającym udział w danej interwencji (np. grupa docelowa wskazana została we wniosku o dofinansowanie, kryteriach wyboru projektu lub dokumentach programowych), należy dane pozyskiwać bezpośrednio od wszystkich jej uczestników. W pozostałych przypadkach dane osobowe dot. tej cechy nie muszą być zbierane od poszczególnych uczestników. Wskaźnik należy jednak monitorować, nawet w przypadku, gdy powiązane z nim </w:t>
            </w:r>
            <w:r w:rsidRPr="00FF79C2">
              <w:rPr>
                <w:iCs/>
                <w:color w:val="auto"/>
                <w:lang w:eastAsia="pl-PL"/>
              </w:rPr>
              <w:lastRenderedPageBreak/>
              <w:t>dane osobowe nie są zbierane od uczestników. Beneficjent stosuje wtedy szacunki. Najlepiej, by szacunki dotyczące uczestników z niepełnosprawnościami w ogólnej liczbie uczestników w</w:t>
            </w:r>
            <w:r w:rsidR="0036147B" w:rsidRPr="00FF79C2">
              <w:rPr>
                <w:iCs/>
                <w:color w:val="auto"/>
                <w:lang w:eastAsia="pl-PL"/>
              </w:rPr>
              <w:t> </w:t>
            </w:r>
            <w:r w:rsidRPr="00FF79C2">
              <w:rPr>
                <w:iCs/>
                <w:color w:val="auto"/>
                <w:lang w:eastAsia="pl-PL"/>
              </w:rPr>
              <w:t>podziale na płeć były uzyskiwane za pomocą metod, które można statystycznie uzasadnić. Jeśli nie jest to możliwe, należy wykorzystać tzw. wiarygodne szacunki (różne metody szacowania opisano w załączniku do Wytycznych monitorowania).</w:t>
            </w:r>
          </w:p>
          <w:p w14:paraId="5A888855" w14:textId="0204FFF8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Wybraną metodę szacowania należy udokumentować. Uwaga: w danym projekcie może być stosowana wyłącznie jedna metoda monitorowania tego wskaźnika tj. szacowanie lub zbieranie danych osobowych dot. tego wskaźnika od uczestników.</w:t>
            </w:r>
          </w:p>
          <w:p w14:paraId="6D69FCDE" w14:textId="634BCA0A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lang w:eastAsia="pl-PL"/>
              </w:rPr>
            </w:pPr>
            <w:r w:rsidRPr="00FF79C2">
              <w:rPr>
                <w:iCs/>
                <w:color w:val="auto"/>
                <w:lang w:eastAsia="pl-PL"/>
              </w:rPr>
              <w:t>Zasady dotyczące możliwości wykorzystania wiarygodnych szacunków przez beneficjentów w danym naborze określane są przez właściwą dla programu Instytucję Zarządzającą.</w:t>
            </w:r>
          </w:p>
        </w:tc>
      </w:tr>
      <w:tr w:rsidR="00A66A4C" w:rsidRPr="00FF79C2" w14:paraId="23889C33" w14:textId="77777777" w:rsidTr="009C61A6">
        <w:tc>
          <w:tcPr>
            <w:tcW w:w="248" w:type="pct"/>
          </w:tcPr>
          <w:p w14:paraId="0470EBB5" w14:textId="3B613252" w:rsidR="00A66A4C" w:rsidRPr="00FF79C2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40" w:type="pct"/>
          </w:tcPr>
          <w:p w14:paraId="7B0F330D" w14:textId="5ED07459" w:rsidR="00A66A4C" w:rsidRPr="00FF79C2" w:rsidRDefault="00A66A4C" w:rsidP="00A66A4C">
            <w:pPr>
              <w:spacing w:after="0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 xml:space="preserve">Liczba osób z krajów trzecich objętych wsparciem w programie. </w:t>
            </w:r>
          </w:p>
        </w:tc>
        <w:tc>
          <w:tcPr>
            <w:tcW w:w="496" w:type="pct"/>
          </w:tcPr>
          <w:p w14:paraId="112671B0" w14:textId="6352127B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osoby</w:t>
            </w:r>
          </w:p>
        </w:tc>
        <w:tc>
          <w:tcPr>
            <w:tcW w:w="595" w:type="pct"/>
          </w:tcPr>
          <w:p w14:paraId="0AE41913" w14:textId="3B5A99A1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</w:rPr>
              <w:t>wskaźnik produktu</w:t>
            </w:r>
          </w:p>
        </w:tc>
        <w:tc>
          <w:tcPr>
            <w:tcW w:w="2521" w:type="pct"/>
          </w:tcPr>
          <w:p w14:paraId="3F0F2AD2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 xml:space="preserve">Osoby, które są obywatelami krajów spoza UE. Do wskaźnika wlicza się też bezpaństwowców zgodnie z Konwencją o statusie bezpaństwowców z 1954 r. i osoby bez ustalonego obywatelstwa. </w:t>
            </w:r>
          </w:p>
          <w:p w14:paraId="43EA9AB9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Przynależność do grupy osób z krajów trzecich określana jest w momencie rozpoczęcia udziału w projekcie, tj. w chwili rozpoczęcia udziału w pierwszej formie wsparcia w projekcie.</w:t>
            </w:r>
          </w:p>
          <w:p w14:paraId="1A3E7C48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 xml:space="preserve">W przypadku, gdy obywatelstwo państw trzecich jest kryterium umożliwiającym udział w danej interwencji (np. grupa docelowa wskazana została we wniosku o dofinansowanie, kryteriach </w:t>
            </w:r>
            <w:r w:rsidRPr="00FF79C2">
              <w:rPr>
                <w:iCs/>
                <w:color w:val="auto"/>
              </w:rPr>
              <w:lastRenderedPageBreak/>
              <w:t xml:space="preserve">wyboru projektu lub dokumentach programowych), należy dane pozyskiwać bezpośrednio od wszystkich jej uczestników. W pozostałych przypadkach dane osobowe dot. tej cechy nie muszą być zbierane od poszczególnych uczestników. Wskaźnik należy jednak monitorować, nawet w przypadku, gdy powiązane z nim dane osobowe nie są zbierane od uczestników. Beneficjent stosuje wtedy szacunki. Najlepiej, by szacunki dotyczące uczestników z krajów trzecich w ogólnej liczbie uczestników w podziale na płeć były uzyskiwane za pomocą metod, które można statystycznie uzasadnić. Jeśli nie jest to możliwe, należy wykorzystać tzw. wiarygodne szacunki (różne metody szacowania opisano w załączniku do Wytycznych). Wybraną metodę szacowania należy udokumentować. Uwaga: w danym projekcie może być stosowana wyłącznie jedna metoda monitorowania tego wskaźnika tj. szacowanie lub zbieranie danych osobowych dot. tego wskaźnika od uczestników. </w:t>
            </w:r>
          </w:p>
          <w:p w14:paraId="764DD8F1" w14:textId="6A329E29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Zasady dotyczące możliwości wykorzystania wiarygodnych szacunków przez beneficjentów w danym naborze określane są przez właściwą dla programu Instytucję Zarządzającą.</w:t>
            </w:r>
          </w:p>
        </w:tc>
      </w:tr>
      <w:tr w:rsidR="00A66A4C" w:rsidRPr="00FF79C2" w14:paraId="1BD0C57C" w14:textId="77777777" w:rsidTr="009C61A6">
        <w:tc>
          <w:tcPr>
            <w:tcW w:w="248" w:type="pct"/>
          </w:tcPr>
          <w:p w14:paraId="4ADD13BD" w14:textId="1AD43DE5" w:rsidR="00A66A4C" w:rsidRPr="00FF79C2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40" w:type="pct"/>
          </w:tcPr>
          <w:p w14:paraId="1E4B10E1" w14:textId="4319337F" w:rsidR="00A66A4C" w:rsidRPr="00FF79C2" w:rsidRDefault="00A66A4C" w:rsidP="00A66A4C">
            <w:pPr>
              <w:spacing w:after="0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Liczba osób obcego pochodzenia objętych wsparciem w programie.</w:t>
            </w:r>
          </w:p>
        </w:tc>
        <w:tc>
          <w:tcPr>
            <w:tcW w:w="496" w:type="pct"/>
          </w:tcPr>
          <w:p w14:paraId="40D34BB3" w14:textId="48C53632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osoby</w:t>
            </w:r>
          </w:p>
        </w:tc>
        <w:tc>
          <w:tcPr>
            <w:tcW w:w="595" w:type="pct"/>
          </w:tcPr>
          <w:p w14:paraId="050BE234" w14:textId="1A78E725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</w:rPr>
              <w:t>wskaźnik produktu</w:t>
            </w:r>
          </w:p>
        </w:tc>
        <w:tc>
          <w:tcPr>
            <w:tcW w:w="2521" w:type="pct"/>
          </w:tcPr>
          <w:p w14:paraId="1F3B78DB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 xml:space="preserve">Osoby obcego pochodzenia to cudzoziemcy - każda osoba, która nie posiada polskiego obywatelstwa, bez względu na fakt posiadania lub nie obywatelstwa (obywatelstw) innych krajów. </w:t>
            </w:r>
          </w:p>
          <w:p w14:paraId="47983709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 xml:space="preserve">Wskaźnik nie obejmuje osób należących do mniejszości, których udział w projektach monitorowany jest wskaźnikiem liczba osób </w:t>
            </w:r>
            <w:r w:rsidRPr="00FF79C2">
              <w:rPr>
                <w:iCs/>
                <w:color w:val="auto"/>
              </w:rPr>
              <w:lastRenderedPageBreak/>
              <w:t>należących do mniejszości, w tym społeczności marginalizowanych takich jak Romowie, objętych wsparciem w programie.</w:t>
            </w:r>
          </w:p>
          <w:p w14:paraId="35842711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Przynależność do grupy osób obcego pochodzenia określana jest w momencie rozpoczęcia udziału w projekcie, tj. w chwili rozpoczęcia udziału w pierwszej formie wsparcia w projekcie.</w:t>
            </w:r>
          </w:p>
          <w:p w14:paraId="29DB8601" w14:textId="58A522AE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 xml:space="preserve">W przypadku, gdy fakt bycia cudzoziemcem (osobą obcego pochodzenia) jest kryterium umożliwiającym udział w danej interwencji (np. grupa docelowa wskazana została we wniosku o dofinansowanie, kryteriach wyboru projektu lub dokumentach programowych), należy dane pozyskiwać bezpośrednio od wszystkich jej uczestników. W </w:t>
            </w:r>
            <w:r w:rsidR="0036147B" w:rsidRPr="00FF79C2">
              <w:rPr>
                <w:iCs/>
                <w:color w:val="auto"/>
              </w:rPr>
              <w:t> </w:t>
            </w:r>
            <w:r w:rsidRPr="00FF79C2">
              <w:rPr>
                <w:iCs/>
                <w:color w:val="auto"/>
              </w:rPr>
              <w:t xml:space="preserve">pozostałych przypadkach dane osobowe dot. tej cechy nie muszą być zbierane od poszczególnych uczestników. Wskaźnik należy jednak monitorować, nawet w przypadku, gdy powiązane z nim dane osobowe nie są zbierane od uczestników. Beneficjent stosuje wtedy szacunki. Najlepiej, by szacunki dotyczące uczestników obcego pochodzenia w ogólnej liczbie uczestników w podziale na płeć były uzyskiwane za pomocą metod, które można statystycznie uzasadnić. Jeśli nie jest to możliwe, należy wykorzystać tzw. wiarygodne szacunki (różne metody szacowania opisano w załączniku do Wytycznych). Wybraną metodę szacowania należy udokumentować. Uwaga: w danym projekcie może być stosowana wyłącznie jedna metoda monitorowania tego </w:t>
            </w:r>
            <w:r w:rsidRPr="00FF79C2">
              <w:rPr>
                <w:iCs/>
                <w:color w:val="auto"/>
              </w:rPr>
              <w:lastRenderedPageBreak/>
              <w:t xml:space="preserve">wskaźnika tj. szacowanie lub zbieranie danych osobowych dot. tego wskaźnika od uczestników. </w:t>
            </w:r>
          </w:p>
          <w:p w14:paraId="65B08B22" w14:textId="22700065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Informacje dodatkowe: Wskaźnik będzie obejmował zawsze osoby z</w:t>
            </w:r>
            <w:r w:rsidR="0036147B" w:rsidRPr="00FF79C2">
              <w:rPr>
                <w:iCs/>
                <w:color w:val="auto"/>
              </w:rPr>
              <w:t> </w:t>
            </w:r>
            <w:r w:rsidRPr="00FF79C2">
              <w:rPr>
                <w:iCs/>
                <w:color w:val="auto"/>
              </w:rPr>
              <w:t>krajów trzecich, zliczane we wskaźniku liczba osób z krajów trzecich objętych wsparciem w programie.</w:t>
            </w:r>
          </w:p>
          <w:p w14:paraId="46829D13" w14:textId="40D68F16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Zasady dotyczące możliwości wykorzystania wiarygodnych szacunków przez beneficjentów w danym naborze określane są przez właściwą dla programu Instytucję Zarządzającą.</w:t>
            </w:r>
          </w:p>
        </w:tc>
      </w:tr>
      <w:tr w:rsidR="00A66A4C" w:rsidRPr="00FF79C2" w14:paraId="5258055A" w14:textId="77777777" w:rsidTr="009C61A6">
        <w:tc>
          <w:tcPr>
            <w:tcW w:w="248" w:type="pct"/>
          </w:tcPr>
          <w:p w14:paraId="3334E8E2" w14:textId="5B574651" w:rsidR="00A66A4C" w:rsidRPr="00FF79C2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40" w:type="pct"/>
          </w:tcPr>
          <w:p w14:paraId="0FD700D8" w14:textId="41B9ABFF" w:rsidR="00A66A4C" w:rsidRPr="00FF79C2" w:rsidRDefault="00A66A4C" w:rsidP="00A66A4C">
            <w:pPr>
              <w:spacing w:after="0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Liczba osób należących do mniejszości, w tym społeczności marginalizowanych takich jak Romowie, objętych wsparciem w programie</w:t>
            </w:r>
            <w:r w:rsidR="006B5168"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96" w:type="pct"/>
          </w:tcPr>
          <w:p w14:paraId="464810AC" w14:textId="56E75B75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osoby</w:t>
            </w:r>
          </w:p>
        </w:tc>
        <w:tc>
          <w:tcPr>
            <w:tcW w:w="595" w:type="pct"/>
          </w:tcPr>
          <w:p w14:paraId="55B464C9" w14:textId="4C2A646A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</w:rPr>
              <w:t>wskaźnik produktu</w:t>
            </w:r>
          </w:p>
        </w:tc>
        <w:tc>
          <w:tcPr>
            <w:tcW w:w="2521" w:type="pct"/>
          </w:tcPr>
          <w:p w14:paraId="0ED950A2" w14:textId="52EC1E60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Wskaźnik obejmuje osoby należące do mniejszości narodowych i</w:t>
            </w:r>
            <w:r w:rsidR="0036147B" w:rsidRPr="00FF79C2">
              <w:rPr>
                <w:iCs/>
                <w:color w:val="auto"/>
              </w:rPr>
              <w:t> </w:t>
            </w:r>
            <w:r w:rsidRPr="00FF79C2">
              <w:rPr>
                <w:iCs/>
                <w:color w:val="auto"/>
              </w:rPr>
              <w:t>etnicznych biorące udział w projektach EFS+.</w:t>
            </w:r>
          </w:p>
          <w:p w14:paraId="41F716D7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  <w:p w14:paraId="3F341497" w14:textId="4E679930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Definicja opracowana na podstawie ustawy z dnia 6 stycznia 2005 r. o</w:t>
            </w:r>
            <w:r w:rsidR="0036147B" w:rsidRPr="00FF79C2">
              <w:rPr>
                <w:iCs/>
                <w:color w:val="auto"/>
              </w:rPr>
              <w:t> </w:t>
            </w:r>
            <w:r w:rsidRPr="00FF79C2">
              <w:rPr>
                <w:iCs/>
                <w:color w:val="auto"/>
              </w:rPr>
              <w:t>mniejszościach narodowych i etnicznych oraz o języku regionalnym</w:t>
            </w:r>
            <w:r w:rsidR="000D4E15" w:rsidRPr="00FF79C2">
              <w:rPr>
                <w:rStyle w:val="Odwoanieprzypisudolnego"/>
                <w:iCs/>
                <w:color w:val="auto"/>
              </w:rPr>
              <w:footnoteReference w:id="2"/>
            </w:r>
            <w:r w:rsidRPr="00FF79C2">
              <w:rPr>
                <w:iCs/>
                <w:color w:val="auto"/>
              </w:rPr>
              <w:t>.</w:t>
            </w:r>
          </w:p>
          <w:p w14:paraId="4C06C091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lastRenderedPageBreak/>
              <w:t>Przynależność do grupy osób należących do mniejszości określana jest w momencie rozpoczęcia udziału w projekcie, tj. w chwili rozpoczęcia udziału w pierwszej formie wsparcia w projekcie.</w:t>
            </w:r>
          </w:p>
          <w:p w14:paraId="3A16611A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W przypadku, gdy przynależność do mniejszości jest kryterium umożliwiającym udział w danej interwencji (np. grupa docelowa wskazana została we wniosku o dofinansowanie, kryteriach wyboru projektu lub dokumentach programowych), należy dane pozyskiwać bezpośrednio od wszystkich jej uczestników. W pozostałych przypadkach dane osobowe dot. tej cechy nie muszą być zbierane od poszczególnych uczestników. Wskaźnik należy jednak monitorować, nawet w przypadku, gdy powiązane z nim dane osobowe nie są zbierane od uczestników. Beneficjent stosuje wtedy szacunki. Najlepiej, by szacunki dotyczące uczestników należących do mniejszości w ogólnej liczbie uczestników w podziale na płeć były uzyskiwane za pomocą metod, które można statystycznie uzasadnić. Jeśli nie jest to możliwe, należy wykorzystać tzw. wiarygodne szacunki (różne metody szacowania opisano w załączniku do Wytycznych). Wybraną metodę szacowania należy udokumentować. Uwaga: w danym projekcie może być stosowana wyłącznie jedna metoda monitorowania tego wskaźnika tj. szacowanie lub zbieranie danych osobowych dot. tego wskaźnika od uczestników.</w:t>
            </w:r>
          </w:p>
          <w:p w14:paraId="76E88C37" w14:textId="2B8C80AF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lastRenderedPageBreak/>
              <w:t>Zasady dotyczące możliwości wykorzystania wiarygodnych szacunków przez beneficjentów w danym naborze określane są przez właściwą dla programu Instytucję Zarządzającą.</w:t>
            </w:r>
          </w:p>
        </w:tc>
      </w:tr>
      <w:tr w:rsidR="00A66A4C" w:rsidRPr="00FF79C2" w14:paraId="10096525" w14:textId="77777777" w:rsidTr="009C61A6">
        <w:tc>
          <w:tcPr>
            <w:tcW w:w="248" w:type="pct"/>
          </w:tcPr>
          <w:p w14:paraId="15D232C7" w14:textId="3E31803F" w:rsidR="00A66A4C" w:rsidRPr="00FF79C2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40" w:type="pct"/>
          </w:tcPr>
          <w:p w14:paraId="3BF2B10B" w14:textId="2ED83AC8" w:rsidR="00A66A4C" w:rsidRPr="00FF79C2" w:rsidRDefault="00A66A4C" w:rsidP="00A66A4C">
            <w:pPr>
              <w:spacing w:after="0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Liczba osób w kryzysie bezdomności lub dotkniętych wykluczeniem z dostępu do mieszkań, objętych wsparciem w programie.</w:t>
            </w:r>
          </w:p>
        </w:tc>
        <w:tc>
          <w:tcPr>
            <w:tcW w:w="496" w:type="pct"/>
          </w:tcPr>
          <w:p w14:paraId="687EC80A" w14:textId="5EAF69B3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osoby</w:t>
            </w:r>
          </w:p>
        </w:tc>
        <w:tc>
          <w:tcPr>
            <w:tcW w:w="595" w:type="pct"/>
          </w:tcPr>
          <w:p w14:paraId="62CD07B0" w14:textId="4AEF322E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</w:rPr>
              <w:t>wskaźnik produktu</w:t>
            </w:r>
          </w:p>
        </w:tc>
        <w:tc>
          <w:tcPr>
            <w:tcW w:w="2521" w:type="pct"/>
            <w:vAlign w:val="center"/>
          </w:tcPr>
          <w:p w14:paraId="14886B10" w14:textId="77777777" w:rsidR="00A66A4C" w:rsidRPr="00FF79C2" w:rsidRDefault="00A66A4C" w:rsidP="00A66A4C">
            <w:pPr>
              <w:pStyle w:val="Default"/>
              <w:spacing w:after="240" w:line="276" w:lineRule="auto"/>
              <w:rPr>
                <w:iCs/>
              </w:rPr>
            </w:pPr>
            <w:r w:rsidRPr="00FF79C2">
              <w:rPr>
                <w:iCs/>
              </w:rPr>
              <w:t>We wskaźniku wykazywane są osoby w kryzysie bezdomności lub dotknięte wykluczeniem z dostępu do mieszkań.</w:t>
            </w:r>
            <w:r w:rsidRPr="00FF79C2">
              <w:rPr>
                <w:iCs/>
              </w:rPr>
              <w:br w:type="page"/>
            </w:r>
          </w:p>
          <w:p w14:paraId="16563C8F" w14:textId="1C6D5F8E" w:rsidR="00A66A4C" w:rsidRPr="00FF79C2" w:rsidRDefault="00A66A4C" w:rsidP="00A66A4C">
            <w:pPr>
              <w:pStyle w:val="Default"/>
              <w:spacing w:after="240" w:line="276" w:lineRule="auto"/>
              <w:rPr>
                <w:iCs/>
              </w:rPr>
            </w:pPr>
            <w:r w:rsidRPr="00FF79C2">
              <w:rPr>
                <w:iCs/>
              </w:rPr>
              <w:t>Bezdomność i wykluczenie mieszkaniowe definiowane są zgodnie z</w:t>
            </w:r>
            <w:r w:rsidR="0036147B" w:rsidRPr="00FF79C2">
              <w:rPr>
                <w:iCs/>
              </w:rPr>
              <w:t> </w:t>
            </w:r>
            <w:r w:rsidRPr="00FF79C2">
              <w:rPr>
                <w:iCs/>
              </w:rPr>
              <w:t>Europejską typologią bezdomności i wykluczenia mieszkaniowego ETHOS, w której wskazuje się okoliczności życia w bezdomności lub ekstremalne formy wykluczenia mieszkaniowego oraz ustawą z dnia 12 marca 2004 r.  o pomocy społecznej:</w:t>
            </w:r>
            <w:r w:rsidRPr="00FF79C2">
              <w:rPr>
                <w:iCs/>
              </w:rPr>
              <w:br w:type="page"/>
              <w:t xml:space="preserve"> </w:t>
            </w:r>
          </w:p>
          <w:p w14:paraId="3BCE23C9" w14:textId="77777777" w:rsidR="00A66A4C" w:rsidRPr="00FF79C2" w:rsidRDefault="00A66A4C" w:rsidP="00A66A4C">
            <w:pPr>
              <w:pStyle w:val="Default"/>
              <w:numPr>
                <w:ilvl w:val="0"/>
                <w:numId w:val="25"/>
              </w:numPr>
              <w:spacing w:line="276" w:lineRule="auto"/>
              <w:ind w:left="393" w:hanging="393"/>
              <w:rPr>
                <w:iCs/>
              </w:rPr>
            </w:pPr>
            <w:r w:rsidRPr="00FF79C2">
              <w:rPr>
                <w:iCs/>
              </w:rPr>
              <w:t>Bez dachu nad głową, w tym osoby żyjące w przestrzeni publicznej lub zakwaterowane interwencyjnie;</w:t>
            </w:r>
          </w:p>
          <w:p w14:paraId="49273C57" w14:textId="2AA0B271" w:rsidR="00A66A4C" w:rsidRPr="00FF79C2" w:rsidRDefault="00A66A4C" w:rsidP="00A66A4C">
            <w:pPr>
              <w:pStyle w:val="Default"/>
              <w:numPr>
                <w:ilvl w:val="0"/>
                <w:numId w:val="25"/>
              </w:numPr>
              <w:spacing w:line="276" w:lineRule="auto"/>
              <w:ind w:left="393" w:hanging="393"/>
              <w:rPr>
                <w:iCs/>
              </w:rPr>
            </w:pPr>
            <w:r w:rsidRPr="00FF79C2">
              <w:rPr>
                <w:iCs/>
              </w:rPr>
              <w:t>Bez mieszkania, w tym osoby zakwaterowane w placówkach dla bezdomnych, w schroniskach dla kobiet, schroniskach dla imigrantów, osoby opuszczające instytucje penitencjarne/ karne/medyczne, instytucje opiekuńcze, osoby otrzymujące długookresowe wsparcie z powodu bezdomności - specjalistyczne zakwaterowanie wspierane);</w:t>
            </w:r>
          </w:p>
          <w:p w14:paraId="7D64C1B8" w14:textId="77777777" w:rsidR="00A66A4C" w:rsidRPr="00FF79C2" w:rsidRDefault="00A66A4C" w:rsidP="00A66A4C">
            <w:pPr>
              <w:pStyle w:val="Default"/>
              <w:numPr>
                <w:ilvl w:val="0"/>
                <w:numId w:val="25"/>
              </w:numPr>
              <w:spacing w:line="276" w:lineRule="auto"/>
              <w:ind w:left="393" w:hanging="393"/>
              <w:rPr>
                <w:iCs/>
              </w:rPr>
            </w:pPr>
            <w:r w:rsidRPr="00FF79C2">
              <w:rPr>
                <w:iCs/>
              </w:rPr>
              <w:t xml:space="preserve">Niezabezpieczone zakwaterowanie, w tym osoby w lokalach niezabezpieczonych – przebywające czasowo u rodziny/przyjaciół, tj. przebywające w konwencjonalnych warunkach lokalowych, ale nie w stałym miejscu zamieszkania ze względu na brak posiadania takiego, wynajmujący </w:t>
            </w:r>
            <w:r w:rsidRPr="00FF79C2">
              <w:rPr>
                <w:iCs/>
              </w:rPr>
              <w:lastRenderedPageBreak/>
              <w:t>nielegalnie lub nielegalnie zajmujące ziemie, osoby posiadające niepewny najem z nakazem eksmisji, osoby zagrożone przemocą;</w:t>
            </w:r>
          </w:p>
          <w:p w14:paraId="0C903DF4" w14:textId="77777777" w:rsidR="00A66A4C" w:rsidRPr="00FF79C2" w:rsidRDefault="00A66A4C" w:rsidP="00A66A4C">
            <w:pPr>
              <w:pStyle w:val="Default"/>
              <w:numPr>
                <w:ilvl w:val="0"/>
                <w:numId w:val="25"/>
              </w:numPr>
              <w:spacing w:line="276" w:lineRule="auto"/>
              <w:ind w:left="393" w:hanging="393"/>
              <w:rPr>
                <w:iCs/>
              </w:rPr>
            </w:pPr>
            <w:r w:rsidRPr="00FF79C2">
              <w:rPr>
                <w:iCs/>
              </w:rPr>
              <w:t xml:space="preserve">Nieodpowiednie warunki mieszkaniowe, w tym osoby zamieszkujące konstrukcje tymczasowe/nietrwałe, mieszkania </w:t>
            </w:r>
            <w:proofErr w:type="spellStart"/>
            <w:r w:rsidRPr="00FF79C2">
              <w:rPr>
                <w:iCs/>
              </w:rPr>
              <w:t>substandardowe</w:t>
            </w:r>
            <w:proofErr w:type="spellEnd"/>
            <w:r w:rsidRPr="00FF79C2">
              <w:rPr>
                <w:iCs/>
              </w:rPr>
              <w:t xml:space="preserve"> - lokale nienadające się do zamieszkania wg standardu krajowego, w warunkach skrajnego przeludnienia;</w:t>
            </w:r>
          </w:p>
          <w:p w14:paraId="24E6526E" w14:textId="75C8652B" w:rsidR="00A66A4C" w:rsidRPr="00FF79C2" w:rsidRDefault="00A66A4C" w:rsidP="00A66A4C">
            <w:pPr>
              <w:pStyle w:val="Default"/>
              <w:numPr>
                <w:ilvl w:val="0"/>
                <w:numId w:val="25"/>
              </w:numPr>
              <w:spacing w:line="276" w:lineRule="auto"/>
              <w:ind w:left="393" w:hanging="393"/>
              <w:rPr>
                <w:iCs/>
              </w:rPr>
            </w:pPr>
            <w:r w:rsidRPr="00FF79C2">
              <w:rPr>
                <w:iCs/>
              </w:rPr>
              <w:t>Osoby niezamieszkujące w lokalu mieszkalnym w rozumieniu przepisów o ochronie praw lokatorów i mieszkaniowym zasobie gminy i niezameldowane na pobyt stały, w rozumieniu przepisów o</w:t>
            </w:r>
            <w:r w:rsidR="0036147B" w:rsidRPr="00FF79C2">
              <w:rPr>
                <w:iCs/>
              </w:rPr>
              <w:t> </w:t>
            </w:r>
            <w:r w:rsidRPr="00FF79C2">
              <w:rPr>
                <w:iCs/>
              </w:rPr>
              <w:t>ewidencji ludności, a także osoby niezamieszkujące w lokalu mieszkalnym i zameldowaną na pobyt stały w lokalu, w którym nie ma możliwości zamieszkania.</w:t>
            </w:r>
          </w:p>
          <w:p w14:paraId="32F513D0" w14:textId="77777777" w:rsidR="00A66A4C" w:rsidRPr="00FF79C2" w:rsidRDefault="00A66A4C" w:rsidP="00A66A4C">
            <w:pPr>
              <w:pStyle w:val="Default"/>
              <w:spacing w:line="276" w:lineRule="auto"/>
              <w:rPr>
                <w:iCs/>
              </w:rPr>
            </w:pPr>
            <w:r w:rsidRPr="00FF79C2">
              <w:rPr>
                <w:iCs/>
              </w:rPr>
              <w:t>Osoby dorosłe mieszkające z rodzicami nie powinny być wykazywane we wskaźniku, chyba że wszystkie te osoby są w kryzysie bezdomności lub mieszkają w nieodpowiednich i niebezpiecznych warunkach.</w:t>
            </w:r>
          </w:p>
          <w:p w14:paraId="5BEF1D1E" w14:textId="77777777" w:rsidR="00845938" w:rsidRPr="00FF79C2" w:rsidRDefault="00A66A4C" w:rsidP="00367ECF">
            <w:pPr>
              <w:pStyle w:val="Default"/>
              <w:spacing w:before="240" w:line="276" w:lineRule="auto"/>
              <w:rPr>
                <w:iCs/>
              </w:rPr>
            </w:pPr>
            <w:r w:rsidRPr="00FF79C2">
              <w:rPr>
                <w:iCs/>
              </w:rPr>
              <w:t xml:space="preserve">W przypadku, gdy bezdomność/wykluczenie z dostępu do mieszkań jest kryterium umożliwiającym udział w danej interwencji (np. grupa docelowa wskazana została we wniosku o dofinansowanie, kryteriach wyboru projektu lub dokumentach programowych), należy dane pozyskiwać bezpośrednio od wszystkich jej uczestników. W pozostałych przypadkach dane osobowe dot. tej cechy nie muszą być zbierane od </w:t>
            </w:r>
            <w:r w:rsidRPr="00FF79C2">
              <w:rPr>
                <w:iCs/>
              </w:rPr>
              <w:lastRenderedPageBreak/>
              <w:t>poszczególnych uczestników. Wskaźnik należy jednak monitorować, nawet w przypadku, gdy powiązane z nim dane osobowe nie są zbierane od uczestników. Beneficjent stosuje wtedy szacunki. Najlepiej, by szacunki dotyczące uczestników bezdomnych/wykluczonych z dostępu do mieszkań w ogólnej liczbie uczestników w podziale na płeć były uzyskiwane za pomocą metod, które można statystycznie uzasadnić. Jeśli nie jest to możliwe, należy wykorzystać tzw. wiarygodne szacunki (różne metody szacowania opisano w załączniku do Wytycznych). Wybraną metodę szacowania należy udokumentować.</w:t>
            </w:r>
          </w:p>
          <w:p w14:paraId="7F05E1D5" w14:textId="172E07D4" w:rsidR="00A66A4C" w:rsidRPr="00FF79C2" w:rsidRDefault="00A66A4C" w:rsidP="00845938">
            <w:pPr>
              <w:pStyle w:val="Default"/>
              <w:spacing w:line="276" w:lineRule="auto"/>
              <w:rPr>
                <w:iCs/>
              </w:rPr>
            </w:pPr>
            <w:r w:rsidRPr="00FF79C2">
              <w:rPr>
                <w:iCs/>
              </w:rPr>
              <w:t>Uwaga: w danym projekcie może być stosowana wyłącznie jedna metoda monitorowania tego wskaźnika tj. szacowanie lub zbieranie danych osobowych dot. tego wskaźnika od uczestników.</w:t>
            </w:r>
            <w:r w:rsidRPr="00FF79C2" w:rsidDel="001852A9">
              <w:rPr>
                <w:iCs/>
              </w:rPr>
              <w:t xml:space="preserve"> </w:t>
            </w:r>
          </w:p>
          <w:p w14:paraId="1FB5AF54" w14:textId="77777777" w:rsidR="00A66A4C" w:rsidRPr="00FF79C2" w:rsidRDefault="00A66A4C" w:rsidP="00367ECF">
            <w:pPr>
              <w:pStyle w:val="Default"/>
              <w:spacing w:before="240" w:line="276" w:lineRule="auto"/>
              <w:rPr>
                <w:iCs/>
              </w:rPr>
            </w:pPr>
            <w:r w:rsidRPr="00FF79C2">
              <w:rPr>
                <w:iCs/>
              </w:rPr>
              <w:t xml:space="preserve">Przynależność do grupy osób w kryzysie bezdomności lub dotkniętych wykluczeniem z dostępu do mieszkań określana jest w momencie rozpoczęcia udziału w projekcie, tj. w chwili rozpoczęcia udziału w pierwszej formie wsparcia w projekcie. </w:t>
            </w:r>
          </w:p>
          <w:p w14:paraId="51283F18" w14:textId="2025D0B1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Zasady dotyczące możliwości wykorzystania wiarygodnych szacunków przez beneficjentów w danym naborze określane są przez właściwą dla programu Instytucję Zarządzającą.</w:t>
            </w:r>
          </w:p>
        </w:tc>
      </w:tr>
      <w:tr w:rsidR="00A66A4C" w:rsidRPr="00FF79C2" w14:paraId="2C4E70C5" w14:textId="77777777" w:rsidTr="009C61A6">
        <w:tc>
          <w:tcPr>
            <w:tcW w:w="248" w:type="pct"/>
          </w:tcPr>
          <w:p w14:paraId="537A05B8" w14:textId="0C11BD2B" w:rsidR="00A66A4C" w:rsidRPr="00FF79C2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40" w:type="pct"/>
          </w:tcPr>
          <w:p w14:paraId="0B3A566A" w14:textId="0066DAEE" w:rsidR="00A66A4C" w:rsidRPr="00FF79C2" w:rsidRDefault="00A66A4C" w:rsidP="00A66A4C">
            <w:pPr>
              <w:spacing w:after="0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 xml:space="preserve">Liczba objętych wsparciem podmiotów administracji publicznej lub służb publicznych na szczeblu </w:t>
            </w: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lastRenderedPageBreak/>
              <w:t>krajowym, regionalnym lub lokalnym</w:t>
            </w:r>
            <w:r w:rsidR="00367ECF"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96" w:type="pct"/>
          </w:tcPr>
          <w:p w14:paraId="5811C991" w14:textId="39F22F37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lastRenderedPageBreak/>
              <w:t>podmioty</w:t>
            </w:r>
          </w:p>
        </w:tc>
        <w:tc>
          <w:tcPr>
            <w:tcW w:w="595" w:type="pct"/>
          </w:tcPr>
          <w:p w14:paraId="3D6EAE32" w14:textId="711DD049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</w:rPr>
              <w:t>wskaźnik produktu</w:t>
            </w:r>
          </w:p>
        </w:tc>
        <w:tc>
          <w:tcPr>
            <w:tcW w:w="2521" w:type="pct"/>
            <w:vAlign w:val="center"/>
          </w:tcPr>
          <w:p w14:paraId="0673FEA8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Za służby publiczne uznaje się publiczne lub prywatne podmioty, które świadczą usługi publiczne (w przypadku usług publicznych zlecanych przez państwo podmiotom prywatnym lub świadczonych w ramach partnerstwa publiczno-prywatnego).</w:t>
            </w:r>
          </w:p>
          <w:p w14:paraId="2AFD205D" w14:textId="3D4EF61F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lastRenderedPageBreak/>
              <w:t>Przez administrację publiczną rozumie się: administrację wykonawczą i</w:t>
            </w:r>
            <w:r w:rsidR="0036147B" w:rsidRPr="00FF79C2">
              <w:rPr>
                <w:iCs/>
                <w:color w:val="auto"/>
              </w:rPr>
              <w:t> </w:t>
            </w:r>
            <w:r w:rsidRPr="00FF79C2">
              <w:rPr>
                <w:iCs/>
                <w:color w:val="auto"/>
              </w:rPr>
              <w:t>prawodawczą na poziomie centralnym, regionalnym i lokalnym; administrację i nadzór nad sprawami podatkowymi (obsługa podatków; pobór cła / podatku od towarów i dochodzenie w sprawie naruszenia prawa podatkowego; służba celna); administrację zajmującą się wdrażaniem budżetu i zarządzaniem środkami budżetu państwa i</w:t>
            </w:r>
            <w:r w:rsidR="0036147B" w:rsidRPr="00FF79C2">
              <w:rPr>
                <w:iCs/>
                <w:color w:val="auto"/>
              </w:rPr>
              <w:t> </w:t>
            </w:r>
            <w:r w:rsidRPr="00FF79C2">
              <w:rPr>
                <w:iCs/>
                <w:color w:val="auto"/>
              </w:rPr>
              <w:t>długiem publicznym (pobieranie i otrzymywanie pieniędzy oraz kontrola ich wydatkowania); administrację zajmującą się sprawami obywatelskimi, polityką w zakresie badań i rozwoju oraz powiązanymi funduszami; administrację i realizację ogólnego planowania gospodarczego i społecznego oraz usług statystycznych na różnych szczeblach rządzenia.</w:t>
            </w:r>
          </w:p>
          <w:p w14:paraId="4BCF6581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Informacje dotyczące podmiotów objętych wsparciem powinny pochodzić z dokumentów administracyjnych np. z umów o dofinansowanie.</w:t>
            </w:r>
          </w:p>
          <w:p w14:paraId="6E75D7E8" w14:textId="77777777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Do wskaźnika wliczane są tylko te podmioty, dla których można wyróżnić wydatki (nie dotyczy pomocy technicznej).</w:t>
            </w:r>
          </w:p>
          <w:p w14:paraId="5F752662" w14:textId="7E4B297F" w:rsidR="00A66A4C" w:rsidRPr="00FF79C2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Podmiot jest wliczany do wskaźnika w momencie rozpoczęcia udziału w</w:t>
            </w:r>
            <w:r w:rsidR="0036147B" w:rsidRPr="00FF79C2">
              <w:rPr>
                <w:iCs/>
                <w:color w:val="auto"/>
              </w:rPr>
              <w:t> </w:t>
            </w:r>
            <w:r w:rsidRPr="00FF79C2">
              <w:rPr>
                <w:iCs/>
                <w:color w:val="auto"/>
              </w:rPr>
              <w:t>projekcie.</w:t>
            </w:r>
          </w:p>
        </w:tc>
      </w:tr>
      <w:tr w:rsidR="00A66A4C" w:rsidRPr="00FF79C2" w14:paraId="493F3D11" w14:textId="77777777" w:rsidTr="009C61A6">
        <w:tc>
          <w:tcPr>
            <w:tcW w:w="248" w:type="pct"/>
          </w:tcPr>
          <w:p w14:paraId="5848F002" w14:textId="1F92CAA7" w:rsidR="00A66A4C" w:rsidRPr="00FF79C2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40" w:type="pct"/>
          </w:tcPr>
          <w:p w14:paraId="012C70A5" w14:textId="777D3549" w:rsidR="00A66A4C" w:rsidRPr="00FF79C2" w:rsidRDefault="00A66A4C" w:rsidP="00A66A4C">
            <w:pPr>
              <w:spacing w:after="0"/>
              <w:rPr>
                <w:rFonts w:ascii="Arial" w:hAnsi="Arial" w:cs="Arial"/>
                <w:iCs/>
                <w:sz w:val="24"/>
                <w:szCs w:val="24"/>
                <w:lang w:eastAsia="pl-PL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t xml:space="preserve">Liczba objętych wsparciem mikro-, małych i średnich przedsiębiorstw (w tym </w:t>
            </w: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lastRenderedPageBreak/>
              <w:t>spółdzielni i przedsiębiorstw społecznych)</w:t>
            </w:r>
          </w:p>
        </w:tc>
        <w:tc>
          <w:tcPr>
            <w:tcW w:w="496" w:type="pct"/>
          </w:tcPr>
          <w:p w14:paraId="20EA1D58" w14:textId="3A275D9D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  <w:lang w:eastAsia="pl-PL"/>
              </w:rPr>
              <w:lastRenderedPageBreak/>
              <w:t>przedsiębiorstwa</w:t>
            </w:r>
          </w:p>
        </w:tc>
        <w:tc>
          <w:tcPr>
            <w:tcW w:w="595" w:type="pct"/>
          </w:tcPr>
          <w:p w14:paraId="507483AC" w14:textId="477886DB" w:rsidR="00A66A4C" w:rsidRPr="00FF79C2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FF79C2">
              <w:rPr>
                <w:rFonts w:ascii="Arial" w:hAnsi="Arial" w:cs="Arial"/>
                <w:iCs/>
                <w:sz w:val="24"/>
                <w:szCs w:val="24"/>
              </w:rPr>
              <w:t>wskaźnik produktu</w:t>
            </w:r>
          </w:p>
        </w:tc>
        <w:tc>
          <w:tcPr>
            <w:tcW w:w="2521" w:type="pct"/>
            <w:vAlign w:val="center"/>
          </w:tcPr>
          <w:p w14:paraId="68C4FD31" w14:textId="764B9C4B" w:rsidR="00845938" w:rsidRPr="00FF79C2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Za przedsiębiorstwo uważa się podmiot prowadzący działalność gospodarczą bez względu na jego formę prawną, w tym spółdzielnie i</w:t>
            </w:r>
            <w:r w:rsidR="0036147B" w:rsidRPr="00FF79C2">
              <w:rPr>
                <w:iCs/>
                <w:color w:val="auto"/>
              </w:rPr>
              <w:t> </w:t>
            </w:r>
            <w:r w:rsidRPr="00FF79C2">
              <w:rPr>
                <w:iCs/>
                <w:color w:val="auto"/>
              </w:rPr>
              <w:t>przedsiębiorstwa społeczne.</w:t>
            </w:r>
          </w:p>
          <w:p w14:paraId="14694B69" w14:textId="311AD7FD" w:rsidR="00845938" w:rsidRPr="00FF79C2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lastRenderedPageBreak/>
              <w:t>Na kategorię mikroprzedsiębiorstw oraz małych i średnich przedsiębiorstw (MMŚP) składają się przedsiębiorstwa, które zatrudniają mniej niż 250 pracowników, których roczny obrót nie przekracza 50 milionów EUR lub roczna suma bilansowa nie przekracza 43 milionów EUR.</w:t>
            </w:r>
          </w:p>
          <w:p w14:paraId="2A3585CA" w14:textId="4653CAD6" w:rsidR="00845938" w:rsidRPr="00FF79C2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Definicje na podstawie: Zalecenie Komisji z dnia 6 maja 2003 r. dotyczące definicji mikroprzedsiębiorstw oraz małych i średnich przedsiębiorstw (2003/361/WE).</w:t>
            </w:r>
          </w:p>
          <w:p w14:paraId="625A552C" w14:textId="77777777" w:rsidR="00845938" w:rsidRPr="00FF79C2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Dodatkowe informacje:</w:t>
            </w:r>
          </w:p>
          <w:p w14:paraId="29EC6C1A" w14:textId="6EEBF08A" w:rsidR="00845938" w:rsidRPr="00FF79C2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W kategorii mikroprzedsiębiorstwa należy uwzględnić również osoby prowadzące działalność na własny rachunek.</w:t>
            </w:r>
          </w:p>
          <w:p w14:paraId="0407D735" w14:textId="4A6EDF0C" w:rsidR="00845938" w:rsidRPr="00FF79C2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Tylko MMŚP, które korzystają bezpośrednio ze wsparcia powinny być uwzględniane do wskaźnika, tj. w przypadku, kiedy wsparcie jest kierowane do konkretnego przedsiębiorstwa. Jeżeli na przykład pracownik z MMŚP z własnej inicjatywy uczestniczy w szkoleniu, nie należy tego uwzględniać we wskaźniku dotyczącym MMŚP, ponieważ jest to tylko wsparcie pośrednie dla przedsiębiorstwa. MMŚP będące jedynie beneficjentami projektu także nie są odnotowywane w tym wskaźniku.</w:t>
            </w:r>
          </w:p>
          <w:p w14:paraId="69ADBD2C" w14:textId="249A85E8" w:rsidR="00A66A4C" w:rsidRPr="00FF79C2" w:rsidRDefault="00A66A4C" w:rsidP="00845938">
            <w:pPr>
              <w:pStyle w:val="Default"/>
              <w:spacing w:after="120" w:line="276" w:lineRule="auto"/>
              <w:rPr>
                <w:iCs/>
                <w:color w:val="auto"/>
              </w:rPr>
            </w:pPr>
            <w:r w:rsidRPr="00FF79C2">
              <w:rPr>
                <w:iCs/>
                <w:color w:val="auto"/>
              </w:rPr>
              <w:t>Podmiot jest wliczany do wskaźnika w momencie rozpoczęcia udziału w</w:t>
            </w:r>
            <w:r w:rsidR="0036147B" w:rsidRPr="00FF79C2">
              <w:rPr>
                <w:iCs/>
                <w:color w:val="auto"/>
              </w:rPr>
              <w:t> </w:t>
            </w:r>
            <w:r w:rsidRPr="00FF79C2">
              <w:rPr>
                <w:iCs/>
                <w:color w:val="auto"/>
              </w:rPr>
              <w:t>projekcie.</w:t>
            </w:r>
          </w:p>
        </w:tc>
      </w:tr>
    </w:tbl>
    <w:p w14:paraId="1915B7D7" w14:textId="77777777" w:rsidR="00F01F0B" w:rsidRPr="00FF79C2" w:rsidRDefault="00F01F0B" w:rsidP="00477564">
      <w:pPr>
        <w:spacing w:after="240"/>
        <w:rPr>
          <w:rFonts w:ascii="Arial" w:hAnsi="Arial" w:cs="Arial"/>
          <w:sz w:val="24"/>
          <w:szCs w:val="24"/>
          <w:shd w:val="clear" w:color="auto" w:fill="FFFFFF"/>
        </w:rPr>
      </w:pPr>
    </w:p>
    <w:sectPr w:rsidR="00F01F0B" w:rsidRPr="00FF79C2" w:rsidSect="006D0DA4">
      <w:footerReference w:type="default" r:id="rId9"/>
      <w:headerReference w:type="first" r:id="rId10"/>
      <w:pgSz w:w="16838" w:h="11906" w:orient="landscape"/>
      <w:pgMar w:top="1418" w:right="1134" w:bottom="1418" w:left="1276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9C9AA" w14:textId="77777777" w:rsidR="009D571D" w:rsidRDefault="009D571D" w:rsidP="00C242A1">
      <w:pPr>
        <w:spacing w:after="0" w:line="240" w:lineRule="auto"/>
      </w:pPr>
      <w:r>
        <w:separator/>
      </w:r>
    </w:p>
  </w:endnote>
  <w:endnote w:type="continuationSeparator" w:id="0">
    <w:p w14:paraId="3A05AB07" w14:textId="77777777" w:rsidR="009D571D" w:rsidRDefault="009D571D" w:rsidP="00C242A1">
      <w:pPr>
        <w:spacing w:after="0" w:line="240" w:lineRule="auto"/>
      </w:pPr>
      <w:r>
        <w:continuationSeparator/>
      </w:r>
    </w:p>
  </w:endnote>
  <w:endnote w:type="continuationNotice" w:id="1">
    <w:p w14:paraId="50CAC01C" w14:textId="77777777" w:rsidR="009D571D" w:rsidRDefault="009D57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82394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4EF9D36C" w14:textId="7F8EE11C" w:rsidR="00A25DC6" w:rsidRPr="00E229AB" w:rsidRDefault="003161F8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E229AB">
          <w:rPr>
            <w:rFonts w:ascii="Arial" w:hAnsi="Arial" w:cs="Arial"/>
            <w:sz w:val="24"/>
            <w:szCs w:val="24"/>
          </w:rPr>
          <w:fldChar w:fldCharType="begin"/>
        </w:r>
        <w:r w:rsidR="00267845" w:rsidRPr="00E229AB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E229AB">
          <w:rPr>
            <w:rFonts w:ascii="Arial" w:hAnsi="Arial" w:cs="Arial"/>
            <w:sz w:val="24"/>
            <w:szCs w:val="24"/>
          </w:rPr>
          <w:fldChar w:fldCharType="separate"/>
        </w:r>
        <w:r w:rsidR="00067202" w:rsidRPr="00E229AB">
          <w:rPr>
            <w:rFonts w:ascii="Arial" w:hAnsi="Arial" w:cs="Arial"/>
            <w:noProof/>
            <w:sz w:val="24"/>
            <w:szCs w:val="24"/>
          </w:rPr>
          <w:t>3</w:t>
        </w:r>
        <w:r w:rsidRPr="00E229AB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6130AC66" w14:textId="77777777" w:rsidR="00A25DC6" w:rsidRDefault="00A25D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ECD16" w14:textId="77777777" w:rsidR="009D571D" w:rsidRDefault="009D571D" w:rsidP="00C242A1">
      <w:pPr>
        <w:spacing w:after="0" w:line="240" w:lineRule="auto"/>
      </w:pPr>
      <w:r>
        <w:separator/>
      </w:r>
    </w:p>
  </w:footnote>
  <w:footnote w:type="continuationSeparator" w:id="0">
    <w:p w14:paraId="270235AD" w14:textId="77777777" w:rsidR="009D571D" w:rsidRDefault="009D571D" w:rsidP="00C242A1">
      <w:pPr>
        <w:spacing w:after="0" w:line="240" w:lineRule="auto"/>
      </w:pPr>
      <w:r>
        <w:continuationSeparator/>
      </w:r>
    </w:p>
  </w:footnote>
  <w:footnote w:type="continuationNotice" w:id="1">
    <w:p w14:paraId="035EA091" w14:textId="77777777" w:rsidR="009D571D" w:rsidRDefault="009D571D">
      <w:pPr>
        <w:spacing w:after="0" w:line="240" w:lineRule="auto"/>
      </w:pPr>
    </w:p>
  </w:footnote>
  <w:footnote w:id="2">
    <w:p w14:paraId="3983932A" w14:textId="77777777" w:rsidR="000D4E15" w:rsidRPr="000D4E15" w:rsidRDefault="000D4E15" w:rsidP="000D4E15">
      <w:pPr>
        <w:pStyle w:val="Tekstprzypisudolnego"/>
        <w:rPr>
          <w:rFonts w:ascii="Arial" w:hAnsi="Arial" w:cs="Arial"/>
          <w:sz w:val="18"/>
          <w:szCs w:val="18"/>
        </w:rPr>
      </w:pPr>
      <w:r w:rsidRPr="000D4E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D4E15">
        <w:rPr>
          <w:rFonts w:ascii="Arial" w:hAnsi="Arial" w:cs="Arial"/>
          <w:sz w:val="18"/>
          <w:szCs w:val="18"/>
        </w:rPr>
        <w:t xml:space="preserve"> Zgodnie z art. 2 ust. 1 przedmiotowej ustawy mniejszością narodową jest grupa obywateli polskich, która spełnia łącznie następujące warunki:</w:t>
      </w:r>
    </w:p>
    <w:p w14:paraId="1A372832" w14:textId="77777777" w:rsid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jest mniej liczebna od pozostałej części ludności Rzeczypospolitej Polskiej;</w:t>
      </w:r>
    </w:p>
    <w:p w14:paraId="6ECE02BC" w14:textId="77777777" w:rsid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w sposób istotny odróżnia się od pozostałych obywateli językiem, kulturą lub tradycją;</w:t>
      </w:r>
    </w:p>
    <w:p w14:paraId="176C25A0" w14:textId="77777777" w:rsid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dąży do zachowania swojego języka, kultury lub tradycji;</w:t>
      </w:r>
    </w:p>
    <w:p w14:paraId="04D385A6" w14:textId="77777777" w:rsid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ma świadomość własnej historycznej wspólnoty narodowej i jest ukierunkowana na jej wyrażanie i ochronę;</w:t>
      </w:r>
    </w:p>
    <w:p w14:paraId="0FBF4EEB" w14:textId="77777777" w:rsid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jej przodkowie zamieszkiwali obecne terytorium Rzeczypospolitej Polskiej od co najmniej 100 lat;</w:t>
      </w:r>
    </w:p>
    <w:p w14:paraId="560585E2" w14:textId="0D018E5D" w:rsidR="000D4E15" w:rsidRP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utożsamia się z narodem zorganizowanym we własnym państwie.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8E26" w14:textId="7D79880E" w:rsidR="00B03498" w:rsidRDefault="00B75B9E" w:rsidP="00485B52">
    <w:pPr>
      <w:pStyle w:val="Nagwek"/>
      <w:jc w:val="center"/>
    </w:pPr>
    <w:r>
      <w:rPr>
        <w:noProof/>
      </w:rPr>
      <w:drawing>
        <wp:inline distT="0" distB="0" distL="0" distR="0" wp14:anchorId="2EC80CEE" wp14:editId="1930BAC3">
          <wp:extent cx="5760720" cy="612074"/>
          <wp:effectExtent l="0" t="0" r="0" b="0"/>
          <wp:docPr id="2047338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2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BE4"/>
    <w:multiLevelType w:val="hybridMultilevel"/>
    <w:tmpl w:val="F8D81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B26BD"/>
    <w:multiLevelType w:val="hybridMultilevel"/>
    <w:tmpl w:val="AB3A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6D91"/>
    <w:multiLevelType w:val="hybridMultilevel"/>
    <w:tmpl w:val="5FBE7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A29E3"/>
    <w:multiLevelType w:val="hybridMultilevel"/>
    <w:tmpl w:val="62BE80A0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A09A8"/>
    <w:multiLevelType w:val="hybridMultilevel"/>
    <w:tmpl w:val="2E829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173D5C"/>
    <w:multiLevelType w:val="hybridMultilevel"/>
    <w:tmpl w:val="67129CF4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1692C"/>
    <w:multiLevelType w:val="hybridMultilevel"/>
    <w:tmpl w:val="34EC9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24CC3"/>
    <w:multiLevelType w:val="hybridMultilevel"/>
    <w:tmpl w:val="290AB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F181B"/>
    <w:multiLevelType w:val="hybridMultilevel"/>
    <w:tmpl w:val="090C9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424F5"/>
    <w:multiLevelType w:val="hybridMultilevel"/>
    <w:tmpl w:val="1D14DE8E"/>
    <w:lvl w:ilvl="0" w:tplc="985C9C4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54902"/>
    <w:multiLevelType w:val="hybridMultilevel"/>
    <w:tmpl w:val="0D223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C8578B"/>
    <w:multiLevelType w:val="hybridMultilevel"/>
    <w:tmpl w:val="622E18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51C6283"/>
    <w:multiLevelType w:val="hybridMultilevel"/>
    <w:tmpl w:val="1E78490C"/>
    <w:lvl w:ilvl="0" w:tplc="AD88C6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4450DD"/>
    <w:multiLevelType w:val="hybridMultilevel"/>
    <w:tmpl w:val="7A28AB94"/>
    <w:lvl w:ilvl="0" w:tplc="3F62134E">
      <w:start w:val="1"/>
      <w:numFmt w:val="decimal"/>
      <w:lvlText w:val="%1."/>
      <w:lvlJc w:val="left"/>
      <w:pPr>
        <w:ind w:left="426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8F3DCC"/>
    <w:multiLevelType w:val="hybridMultilevel"/>
    <w:tmpl w:val="FDB6E3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A14A2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B0B88"/>
    <w:multiLevelType w:val="hybridMultilevel"/>
    <w:tmpl w:val="FEF48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8668C"/>
    <w:multiLevelType w:val="hybridMultilevel"/>
    <w:tmpl w:val="89B0A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D69D4"/>
    <w:multiLevelType w:val="hybridMultilevel"/>
    <w:tmpl w:val="8024855C"/>
    <w:lvl w:ilvl="0" w:tplc="AD88C6D0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FCF5F7C"/>
    <w:multiLevelType w:val="hybridMultilevel"/>
    <w:tmpl w:val="556A4408"/>
    <w:lvl w:ilvl="0" w:tplc="840AFB40">
      <w:start w:val="1"/>
      <w:numFmt w:val="bullet"/>
      <w:lvlText w:val="−"/>
      <w:lvlJc w:val="left"/>
      <w:pPr>
        <w:ind w:left="720" w:hanging="360"/>
      </w:pPr>
      <w:rPr>
        <w:rFonts w:ascii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C0AA3"/>
    <w:multiLevelType w:val="hybridMultilevel"/>
    <w:tmpl w:val="652EE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12270"/>
    <w:multiLevelType w:val="hybridMultilevel"/>
    <w:tmpl w:val="9918B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0ACFB3"/>
    <w:multiLevelType w:val="hybridMultilevel"/>
    <w:tmpl w:val="55A2933E"/>
    <w:lvl w:ilvl="0" w:tplc="BA888D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BC428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A8642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4867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0A0C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CF0AC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8A0F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08E7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CC427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1ED6D48"/>
    <w:multiLevelType w:val="hybridMultilevel"/>
    <w:tmpl w:val="441A2328"/>
    <w:lvl w:ilvl="0" w:tplc="370AC3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8A65B4"/>
    <w:multiLevelType w:val="hybridMultilevel"/>
    <w:tmpl w:val="D3FACA86"/>
    <w:lvl w:ilvl="0" w:tplc="985C9C4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F37DBF"/>
    <w:multiLevelType w:val="hybridMultilevel"/>
    <w:tmpl w:val="DB62D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370E94"/>
    <w:multiLevelType w:val="hybridMultilevel"/>
    <w:tmpl w:val="FC502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71BFA"/>
    <w:multiLevelType w:val="hybridMultilevel"/>
    <w:tmpl w:val="DCAA1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B45CB"/>
    <w:multiLevelType w:val="hybridMultilevel"/>
    <w:tmpl w:val="4914F5B0"/>
    <w:lvl w:ilvl="0" w:tplc="985C9C4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374766">
    <w:abstractNumId w:val="3"/>
  </w:num>
  <w:num w:numId="2" w16cid:durableId="983001526">
    <w:abstractNumId w:val="5"/>
  </w:num>
  <w:num w:numId="3" w16cid:durableId="1835795801">
    <w:abstractNumId w:val="17"/>
  </w:num>
  <w:num w:numId="4" w16cid:durableId="1793358190">
    <w:abstractNumId w:val="13"/>
  </w:num>
  <w:num w:numId="5" w16cid:durableId="983046463">
    <w:abstractNumId w:val="7"/>
  </w:num>
  <w:num w:numId="6" w16cid:durableId="723986776">
    <w:abstractNumId w:val="18"/>
  </w:num>
  <w:num w:numId="7" w16cid:durableId="2067531525">
    <w:abstractNumId w:val="26"/>
  </w:num>
  <w:num w:numId="8" w16cid:durableId="1959532893">
    <w:abstractNumId w:val="8"/>
  </w:num>
  <w:num w:numId="9" w16cid:durableId="1067647161">
    <w:abstractNumId w:val="25"/>
  </w:num>
  <w:num w:numId="10" w16cid:durableId="1699118108">
    <w:abstractNumId w:val="2"/>
  </w:num>
  <w:num w:numId="11" w16cid:durableId="2007853299">
    <w:abstractNumId w:val="1"/>
  </w:num>
  <w:num w:numId="12" w16cid:durableId="1826971167">
    <w:abstractNumId w:val="4"/>
  </w:num>
  <w:num w:numId="13" w16cid:durableId="2080011905">
    <w:abstractNumId w:val="0"/>
  </w:num>
  <w:num w:numId="14" w16cid:durableId="1709376626">
    <w:abstractNumId w:val="6"/>
  </w:num>
  <w:num w:numId="15" w16cid:durableId="1084492993">
    <w:abstractNumId w:val="20"/>
  </w:num>
  <w:num w:numId="16" w16cid:durableId="1006633889">
    <w:abstractNumId w:val="19"/>
  </w:num>
  <w:num w:numId="17" w16cid:durableId="664750677">
    <w:abstractNumId w:val="16"/>
  </w:num>
  <w:num w:numId="18" w16cid:durableId="1870947310">
    <w:abstractNumId w:val="15"/>
  </w:num>
  <w:num w:numId="19" w16cid:durableId="196436062">
    <w:abstractNumId w:val="11"/>
  </w:num>
  <w:num w:numId="20" w16cid:durableId="1066997530">
    <w:abstractNumId w:val="27"/>
  </w:num>
  <w:num w:numId="21" w16cid:durableId="2007320192">
    <w:abstractNumId w:val="22"/>
  </w:num>
  <w:num w:numId="22" w16cid:durableId="1575237445">
    <w:abstractNumId w:val="12"/>
  </w:num>
  <w:num w:numId="23" w16cid:durableId="1458451448">
    <w:abstractNumId w:val="14"/>
  </w:num>
  <w:num w:numId="24" w16cid:durableId="1751267962">
    <w:abstractNumId w:val="21"/>
  </w:num>
  <w:num w:numId="25" w16cid:durableId="377969942">
    <w:abstractNumId w:val="10"/>
  </w:num>
  <w:num w:numId="26" w16cid:durableId="1383016612">
    <w:abstractNumId w:val="9"/>
  </w:num>
  <w:num w:numId="27" w16cid:durableId="741684223">
    <w:abstractNumId w:val="23"/>
  </w:num>
  <w:num w:numId="28" w16cid:durableId="226189214">
    <w:abstractNumId w:val="24"/>
  </w:num>
  <w:num w:numId="29" w16cid:durableId="6223496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17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70C"/>
    <w:rsid w:val="00001BFA"/>
    <w:rsid w:val="0000342A"/>
    <w:rsid w:val="0000621C"/>
    <w:rsid w:val="00010142"/>
    <w:rsid w:val="00010253"/>
    <w:rsid w:val="000125F7"/>
    <w:rsid w:val="000139CB"/>
    <w:rsid w:val="000148FA"/>
    <w:rsid w:val="000230F5"/>
    <w:rsid w:val="00024127"/>
    <w:rsid w:val="00026B2E"/>
    <w:rsid w:val="00030A9D"/>
    <w:rsid w:val="000323A7"/>
    <w:rsid w:val="000323CF"/>
    <w:rsid w:val="00032B7F"/>
    <w:rsid w:val="00032FEA"/>
    <w:rsid w:val="0003349C"/>
    <w:rsid w:val="000343D0"/>
    <w:rsid w:val="00035304"/>
    <w:rsid w:val="00037C18"/>
    <w:rsid w:val="000405F5"/>
    <w:rsid w:val="00042D31"/>
    <w:rsid w:val="00045FC3"/>
    <w:rsid w:val="00047611"/>
    <w:rsid w:val="000511A7"/>
    <w:rsid w:val="0005261B"/>
    <w:rsid w:val="00053A82"/>
    <w:rsid w:val="00054B2B"/>
    <w:rsid w:val="00062958"/>
    <w:rsid w:val="000639B1"/>
    <w:rsid w:val="000661CA"/>
    <w:rsid w:val="00066A92"/>
    <w:rsid w:val="00067202"/>
    <w:rsid w:val="000679F9"/>
    <w:rsid w:val="00071239"/>
    <w:rsid w:val="00071D65"/>
    <w:rsid w:val="00071E87"/>
    <w:rsid w:val="00071F7A"/>
    <w:rsid w:val="00073ACD"/>
    <w:rsid w:val="00073E5E"/>
    <w:rsid w:val="00074FE3"/>
    <w:rsid w:val="000816D8"/>
    <w:rsid w:val="00081F2C"/>
    <w:rsid w:val="000825D6"/>
    <w:rsid w:val="000854F9"/>
    <w:rsid w:val="0008595F"/>
    <w:rsid w:val="00085FCD"/>
    <w:rsid w:val="00091B4D"/>
    <w:rsid w:val="000923C8"/>
    <w:rsid w:val="0009266A"/>
    <w:rsid w:val="00094628"/>
    <w:rsid w:val="0009529E"/>
    <w:rsid w:val="00095B2D"/>
    <w:rsid w:val="000A0226"/>
    <w:rsid w:val="000A0554"/>
    <w:rsid w:val="000A0D01"/>
    <w:rsid w:val="000A11DB"/>
    <w:rsid w:val="000A144C"/>
    <w:rsid w:val="000A1F5B"/>
    <w:rsid w:val="000A2D81"/>
    <w:rsid w:val="000A32D9"/>
    <w:rsid w:val="000A34D0"/>
    <w:rsid w:val="000A7145"/>
    <w:rsid w:val="000A7347"/>
    <w:rsid w:val="000B15E9"/>
    <w:rsid w:val="000B249F"/>
    <w:rsid w:val="000B5864"/>
    <w:rsid w:val="000B71E2"/>
    <w:rsid w:val="000B7B2C"/>
    <w:rsid w:val="000C128D"/>
    <w:rsid w:val="000C14E0"/>
    <w:rsid w:val="000C6F5B"/>
    <w:rsid w:val="000D14A7"/>
    <w:rsid w:val="000D3730"/>
    <w:rsid w:val="000D4E15"/>
    <w:rsid w:val="000D69D3"/>
    <w:rsid w:val="000E0F63"/>
    <w:rsid w:val="000E5E52"/>
    <w:rsid w:val="000E6885"/>
    <w:rsid w:val="000F111D"/>
    <w:rsid w:val="000F6369"/>
    <w:rsid w:val="00103F6B"/>
    <w:rsid w:val="00105078"/>
    <w:rsid w:val="00106096"/>
    <w:rsid w:val="00106B9C"/>
    <w:rsid w:val="001072DD"/>
    <w:rsid w:val="0010759E"/>
    <w:rsid w:val="00112268"/>
    <w:rsid w:val="00112C6C"/>
    <w:rsid w:val="00112F40"/>
    <w:rsid w:val="001131E1"/>
    <w:rsid w:val="001140A0"/>
    <w:rsid w:val="00115940"/>
    <w:rsid w:val="0011619C"/>
    <w:rsid w:val="00117B3D"/>
    <w:rsid w:val="00120C4F"/>
    <w:rsid w:val="0012273B"/>
    <w:rsid w:val="00122D6A"/>
    <w:rsid w:val="00123A30"/>
    <w:rsid w:val="00124B5C"/>
    <w:rsid w:val="0013037F"/>
    <w:rsid w:val="001310AE"/>
    <w:rsid w:val="00131DB0"/>
    <w:rsid w:val="0013402B"/>
    <w:rsid w:val="001341B6"/>
    <w:rsid w:val="001347AE"/>
    <w:rsid w:val="00135393"/>
    <w:rsid w:val="001369DA"/>
    <w:rsid w:val="00140BC3"/>
    <w:rsid w:val="00141EA3"/>
    <w:rsid w:val="00142282"/>
    <w:rsid w:val="00142E6B"/>
    <w:rsid w:val="001432D4"/>
    <w:rsid w:val="00144AEA"/>
    <w:rsid w:val="001505F0"/>
    <w:rsid w:val="00150F98"/>
    <w:rsid w:val="00151241"/>
    <w:rsid w:val="00152833"/>
    <w:rsid w:val="00152D03"/>
    <w:rsid w:val="00153157"/>
    <w:rsid w:val="00154860"/>
    <w:rsid w:val="00162A75"/>
    <w:rsid w:val="00174A37"/>
    <w:rsid w:val="0017509F"/>
    <w:rsid w:val="00180109"/>
    <w:rsid w:val="00181D41"/>
    <w:rsid w:val="00181F48"/>
    <w:rsid w:val="00182255"/>
    <w:rsid w:val="001844B2"/>
    <w:rsid w:val="0018513C"/>
    <w:rsid w:val="0018543C"/>
    <w:rsid w:val="0018660E"/>
    <w:rsid w:val="0018776A"/>
    <w:rsid w:val="001907AD"/>
    <w:rsid w:val="0019376A"/>
    <w:rsid w:val="00193E9F"/>
    <w:rsid w:val="00194C08"/>
    <w:rsid w:val="00196A86"/>
    <w:rsid w:val="00197C0E"/>
    <w:rsid w:val="001A439F"/>
    <w:rsid w:val="001A43A9"/>
    <w:rsid w:val="001A7AD9"/>
    <w:rsid w:val="001B05E6"/>
    <w:rsid w:val="001B40EF"/>
    <w:rsid w:val="001B4A8A"/>
    <w:rsid w:val="001B5D48"/>
    <w:rsid w:val="001C2F3F"/>
    <w:rsid w:val="001C6A36"/>
    <w:rsid w:val="001D117C"/>
    <w:rsid w:val="001D342F"/>
    <w:rsid w:val="001D432B"/>
    <w:rsid w:val="001D49ED"/>
    <w:rsid w:val="001D4E38"/>
    <w:rsid w:val="001D7A64"/>
    <w:rsid w:val="001E0712"/>
    <w:rsid w:val="001E4F82"/>
    <w:rsid w:val="001E7787"/>
    <w:rsid w:val="001F0609"/>
    <w:rsid w:val="001F1C54"/>
    <w:rsid w:val="001F21DA"/>
    <w:rsid w:val="001F6A87"/>
    <w:rsid w:val="00200751"/>
    <w:rsid w:val="00200937"/>
    <w:rsid w:val="00201571"/>
    <w:rsid w:val="002023F3"/>
    <w:rsid w:val="00202905"/>
    <w:rsid w:val="00202CA8"/>
    <w:rsid w:val="0020391A"/>
    <w:rsid w:val="00204795"/>
    <w:rsid w:val="00204EE8"/>
    <w:rsid w:val="00205940"/>
    <w:rsid w:val="00205B17"/>
    <w:rsid w:val="00206994"/>
    <w:rsid w:val="002074F7"/>
    <w:rsid w:val="00212A23"/>
    <w:rsid w:val="00212A76"/>
    <w:rsid w:val="00212B13"/>
    <w:rsid w:val="002164C9"/>
    <w:rsid w:val="00216CE9"/>
    <w:rsid w:val="00217463"/>
    <w:rsid w:val="00222E03"/>
    <w:rsid w:val="00223928"/>
    <w:rsid w:val="00226DB6"/>
    <w:rsid w:val="00230330"/>
    <w:rsid w:val="00230BFC"/>
    <w:rsid w:val="002320B4"/>
    <w:rsid w:val="0023402C"/>
    <w:rsid w:val="00236259"/>
    <w:rsid w:val="00236549"/>
    <w:rsid w:val="00241F26"/>
    <w:rsid w:val="00243867"/>
    <w:rsid w:val="00244038"/>
    <w:rsid w:val="00245713"/>
    <w:rsid w:val="0024581C"/>
    <w:rsid w:val="0025016C"/>
    <w:rsid w:val="00255B3A"/>
    <w:rsid w:val="00255C32"/>
    <w:rsid w:val="00261763"/>
    <w:rsid w:val="00261B57"/>
    <w:rsid w:val="00262098"/>
    <w:rsid w:val="00262EB8"/>
    <w:rsid w:val="00263457"/>
    <w:rsid w:val="002644F1"/>
    <w:rsid w:val="00264F35"/>
    <w:rsid w:val="002666C9"/>
    <w:rsid w:val="00267845"/>
    <w:rsid w:val="00270F19"/>
    <w:rsid w:val="00276036"/>
    <w:rsid w:val="00276399"/>
    <w:rsid w:val="00277504"/>
    <w:rsid w:val="00280305"/>
    <w:rsid w:val="0028639D"/>
    <w:rsid w:val="00293566"/>
    <w:rsid w:val="00293DEA"/>
    <w:rsid w:val="00294668"/>
    <w:rsid w:val="00294DE3"/>
    <w:rsid w:val="00297792"/>
    <w:rsid w:val="002B2306"/>
    <w:rsid w:val="002B2DEE"/>
    <w:rsid w:val="002B7871"/>
    <w:rsid w:val="002C218B"/>
    <w:rsid w:val="002C2AAD"/>
    <w:rsid w:val="002C387D"/>
    <w:rsid w:val="002C4F36"/>
    <w:rsid w:val="002D029B"/>
    <w:rsid w:val="002D14D7"/>
    <w:rsid w:val="002D2481"/>
    <w:rsid w:val="002D450B"/>
    <w:rsid w:val="002D4B42"/>
    <w:rsid w:val="002D5009"/>
    <w:rsid w:val="002D5019"/>
    <w:rsid w:val="002D55A9"/>
    <w:rsid w:val="002D5D8D"/>
    <w:rsid w:val="002D64CB"/>
    <w:rsid w:val="002D7137"/>
    <w:rsid w:val="002E0A56"/>
    <w:rsid w:val="002E2BD3"/>
    <w:rsid w:val="002E50CC"/>
    <w:rsid w:val="002E60B1"/>
    <w:rsid w:val="002E78B9"/>
    <w:rsid w:val="002F13BF"/>
    <w:rsid w:val="002F1716"/>
    <w:rsid w:val="002F2CEA"/>
    <w:rsid w:val="002F5824"/>
    <w:rsid w:val="002F717F"/>
    <w:rsid w:val="003011B1"/>
    <w:rsid w:val="003020E3"/>
    <w:rsid w:val="003020F2"/>
    <w:rsid w:val="00305428"/>
    <w:rsid w:val="00305482"/>
    <w:rsid w:val="00310B1D"/>
    <w:rsid w:val="00312FCB"/>
    <w:rsid w:val="00314207"/>
    <w:rsid w:val="00315785"/>
    <w:rsid w:val="003157C2"/>
    <w:rsid w:val="00315987"/>
    <w:rsid w:val="003161F8"/>
    <w:rsid w:val="003205D0"/>
    <w:rsid w:val="00320C7D"/>
    <w:rsid w:val="00327521"/>
    <w:rsid w:val="00333005"/>
    <w:rsid w:val="00336E32"/>
    <w:rsid w:val="00337634"/>
    <w:rsid w:val="003401C5"/>
    <w:rsid w:val="003417A8"/>
    <w:rsid w:val="00343871"/>
    <w:rsid w:val="00345878"/>
    <w:rsid w:val="00345C5C"/>
    <w:rsid w:val="0034646C"/>
    <w:rsid w:val="0034762B"/>
    <w:rsid w:val="00350179"/>
    <w:rsid w:val="00350D27"/>
    <w:rsid w:val="00355958"/>
    <w:rsid w:val="00357785"/>
    <w:rsid w:val="00357A41"/>
    <w:rsid w:val="00357F86"/>
    <w:rsid w:val="0036147B"/>
    <w:rsid w:val="00361C10"/>
    <w:rsid w:val="00362428"/>
    <w:rsid w:val="003658C4"/>
    <w:rsid w:val="00366BC7"/>
    <w:rsid w:val="00367ECF"/>
    <w:rsid w:val="00367F79"/>
    <w:rsid w:val="0037143B"/>
    <w:rsid w:val="00372197"/>
    <w:rsid w:val="003736E7"/>
    <w:rsid w:val="00373A34"/>
    <w:rsid w:val="003777EA"/>
    <w:rsid w:val="00377A85"/>
    <w:rsid w:val="00381566"/>
    <w:rsid w:val="00384C55"/>
    <w:rsid w:val="00386E6F"/>
    <w:rsid w:val="0039053D"/>
    <w:rsid w:val="00393AF0"/>
    <w:rsid w:val="00394FB3"/>
    <w:rsid w:val="00395615"/>
    <w:rsid w:val="00395FAD"/>
    <w:rsid w:val="003969F7"/>
    <w:rsid w:val="00397FFD"/>
    <w:rsid w:val="003A02A5"/>
    <w:rsid w:val="003A0961"/>
    <w:rsid w:val="003A3454"/>
    <w:rsid w:val="003A4422"/>
    <w:rsid w:val="003A6ED3"/>
    <w:rsid w:val="003A6FBC"/>
    <w:rsid w:val="003A76D5"/>
    <w:rsid w:val="003A7BF0"/>
    <w:rsid w:val="003B06F0"/>
    <w:rsid w:val="003B0FAF"/>
    <w:rsid w:val="003B2B0F"/>
    <w:rsid w:val="003B33B2"/>
    <w:rsid w:val="003C2926"/>
    <w:rsid w:val="003C29B7"/>
    <w:rsid w:val="003C33C8"/>
    <w:rsid w:val="003C5795"/>
    <w:rsid w:val="003C607D"/>
    <w:rsid w:val="003C6456"/>
    <w:rsid w:val="003D21BB"/>
    <w:rsid w:val="003D250C"/>
    <w:rsid w:val="003D3BAD"/>
    <w:rsid w:val="003D466F"/>
    <w:rsid w:val="003E0E93"/>
    <w:rsid w:val="003E14EC"/>
    <w:rsid w:val="003E1686"/>
    <w:rsid w:val="003E1D37"/>
    <w:rsid w:val="003E7BCC"/>
    <w:rsid w:val="003F0BC2"/>
    <w:rsid w:val="003F2CF8"/>
    <w:rsid w:val="003F302B"/>
    <w:rsid w:val="003F38AC"/>
    <w:rsid w:val="003F3CCF"/>
    <w:rsid w:val="004010BA"/>
    <w:rsid w:val="00401715"/>
    <w:rsid w:val="00402D62"/>
    <w:rsid w:val="004047AB"/>
    <w:rsid w:val="00405E57"/>
    <w:rsid w:val="0041270F"/>
    <w:rsid w:val="00413200"/>
    <w:rsid w:val="00413443"/>
    <w:rsid w:val="004151DC"/>
    <w:rsid w:val="00415BC5"/>
    <w:rsid w:val="004172BB"/>
    <w:rsid w:val="004176E9"/>
    <w:rsid w:val="004208F1"/>
    <w:rsid w:val="00422E5A"/>
    <w:rsid w:val="0042501D"/>
    <w:rsid w:val="004251DB"/>
    <w:rsid w:val="004256B6"/>
    <w:rsid w:val="00430C7B"/>
    <w:rsid w:val="00437DCB"/>
    <w:rsid w:val="00440CB0"/>
    <w:rsid w:val="0044168B"/>
    <w:rsid w:val="004422FD"/>
    <w:rsid w:val="004423A6"/>
    <w:rsid w:val="00445EA0"/>
    <w:rsid w:val="004530DB"/>
    <w:rsid w:val="00453B37"/>
    <w:rsid w:val="00453E9F"/>
    <w:rsid w:val="00455C4A"/>
    <w:rsid w:val="00456AD0"/>
    <w:rsid w:val="004575B9"/>
    <w:rsid w:val="004644CD"/>
    <w:rsid w:val="00464A00"/>
    <w:rsid w:val="00464E3A"/>
    <w:rsid w:val="0046738D"/>
    <w:rsid w:val="00467F8B"/>
    <w:rsid w:val="0047460B"/>
    <w:rsid w:val="00477446"/>
    <w:rsid w:val="00477564"/>
    <w:rsid w:val="0048313C"/>
    <w:rsid w:val="004833C4"/>
    <w:rsid w:val="00483637"/>
    <w:rsid w:val="00485B52"/>
    <w:rsid w:val="00486B48"/>
    <w:rsid w:val="00490749"/>
    <w:rsid w:val="0049085D"/>
    <w:rsid w:val="00497C72"/>
    <w:rsid w:val="004A1076"/>
    <w:rsid w:val="004A1521"/>
    <w:rsid w:val="004A1551"/>
    <w:rsid w:val="004A2A3A"/>
    <w:rsid w:val="004A5950"/>
    <w:rsid w:val="004A79AF"/>
    <w:rsid w:val="004B38DA"/>
    <w:rsid w:val="004B4DD1"/>
    <w:rsid w:val="004B5325"/>
    <w:rsid w:val="004B69C9"/>
    <w:rsid w:val="004B6B8C"/>
    <w:rsid w:val="004C1FF7"/>
    <w:rsid w:val="004C20C8"/>
    <w:rsid w:val="004C2560"/>
    <w:rsid w:val="004C53A0"/>
    <w:rsid w:val="004C6CC6"/>
    <w:rsid w:val="004C775B"/>
    <w:rsid w:val="004D1464"/>
    <w:rsid w:val="004D3726"/>
    <w:rsid w:val="004D3DB7"/>
    <w:rsid w:val="004D3E9A"/>
    <w:rsid w:val="004D4EED"/>
    <w:rsid w:val="004D6562"/>
    <w:rsid w:val="004D6B55"/>
    <w:rsid w:val="004D7875"/>
    <w:rsid w:val="004E049D"/>
    <w:rsid w:val="004E335A"/>
    <w:rsid w:val="004F0D47"/>
    <w:rsid w:val="004F0E34"/>
    <w:rsid w:val="004F0F86"/>
    <w:rsid w:val="004F219A"/>
    <w:rsid w:val="004F2A31"/>
    <w:rsid w:val="004F2D8A"/>
    <w:rsid w:val="004F3011"/>
    <w:rsid w:val="004F5954"/>
    <w:rsid w:val="004F68E3"/>
    <w:rsid w:val="005029BD"/>
    <w:rsid w:val="00502A80"/>
    <w:rsid w:val="00502C3E"/>
    <w:rsid w:val="005038D5"/>
    <w:rsid w:val="00505B1F"/>
    <w:rsid w:val="00506268"/>
    <w:rsid w:val="00507C37"/>
    <w:rsid w:val="00510D13"/>
    <w:rsid w:val="0051264D"/>
    <w:rsid w:val="0051389C"/>
    <w:rsid w:val="00517CB6"/>
    <w:rsid w:val="00520B79"/>
    <w:rsid w:val="00522776"/>
    <w:rsid w:val="00522D7A"/>
    <w:rsid w:val="005232B9"/>
    <w:rsid w:val="00525663"/>
    <w:rsid w:val="0053107F"/>
    <w:rsid w:val="00531D43"/>
    <w:rsid w:val="00535609"/>
    <w:rsid w:val="00540A0D"/>
    <w:rsid w:val="00541798"/>
    <w:rsid w:val="00543D81"/>
    <w:rsid w:val="00544037"/>
    <w:rsid w:val="005449F4"/>
    <w:rsid w:val="00546D7C"/>
    <w:rsid w:val="00551D07"/>
    <w:rsid w:val="0055488F"/>
    <w:rsid w:val="00554DAD"/>
    <w:rsid w:val="00561BEC"/>
    <w:rsid w:val="00561D6E"/>
    <w:rsid w:val="005630FB"/>
    <w:rsid w:val="005632EB"/>
    <w:rsid w:val="0056444E"/>
    <w:rsid w:val="00572A1D"/>
    <w:rsid w:val="00573FF3"/>
    <w:rsid w:val="005753B6"/>
    <w:rsid w:val="00580921"/>
    <w:rsid w:val="005831C2"/>
    <w:rsid w:val="005862F9"/>
    <w:rsid w:val="00586E63"/>
    <w:rsid w:val="005937A0"/>
    <w:rsid w:val="005952DC"/>
    <w:rsid w:val="0059560D"/>
    <w:rsid w:val="005A0CA6"/>
    <w:rsid w:val="005A340B"/>
    <w:rsid w:val="005A54FF"/>
    <w:rsid w:val="005A7485"/>
    <w:rsid w:val="005A778B"/>
    <w:rsid w:val="005B02CF"/>
    <w:rsid w:val="005B51AA"/>
    <w:rsid w:val="005B6CCE"/>
    <w:rsid w:val="005C2750"/>
    <w:rsid w:val="005C4B25"/>
    <w:rsid w:val="005C626B"/>
    <w:rsid w:val="005D046D"/>
    <w:rsid w:val="005D081E"/>
    <w:rsid w:val="005D0BFB"/>
    <w:rsid w:val="005D2214"/>
    <w:rsid w:val="005D279F"/>
    <w:rsid w:val="005D2F8B"/>
    <w:rsid w:val="005D389D"/>
    <w:rsid w:val="005D4BB0"/>
    <w:rsid w:val="005D6CC5"/>
    <w:rsid w:val="005E0AD8"/>
    <w:rsid w:val="005E6CA0"/>
    <w:rsid w:val="005F0E74"/>
    <w:rsid w:val="005F2C65"/>
    <w:rsid w:val="005F43F0"/>
    <w:rsid w:val="005F45A0"/>
    <w:rsid w:val="005F7456"/>
    <w:rsid w:val="00600F15"/>
    <w:rsid w:val="00604773"/>
    <w:rsid w:val="0060494A"/>
    <w:rsid w:val="00610C04"/>
    <w:rsid w:val="00611290"/>
    <w:rsid w:val="0061131D"/>
    <w:rsid w:val="006133EC"/>
    <w:rsid w:val="00613753"/>
    <w:rsid w:val="00614C99"/>
    <w:rsid w:val="0061767E"/>
    <w:rsid w:val="00621870"/>
    <w:rsid w:val="00621DCC"/>
    <w:rsid w:val="00622E0F"/>
    <w:rsid w:val="0063017E"/>
    <w:rsid w:val="00631264"/>
    <w:rsid w:val="00631AC2"/>
    <w:rsid w:val="00632101"/>
    <w:rsid w:val="0063253C"/>
    <w:rsid w:val="0063272E"/>
    <w:rsid w:val="00634B0C"/>
    <w:rsid w:val="00637B51"/>
    <w:rsid w:val="00641A04"/>
    <w:rsid w:val="00642122"/>
    <w:rsid w:val="006441B4"/>
    <w:rsid w:val="006443E9"/>
    <w:rsid w:val="00645E4B"/>
    <w:rsid w:val="00650795"/>
    <w:rsid w:val="00650AA2"/>
    <w:rsid w:val="00651806"/>
    <w:rsid w:val="00652861"/>
    <w:rsid w:val="006535B8"/>
    <w:rsid w:val="00654E68"/>
    <w:rsid w:val="006551EE"/>
    <w:rsid w:val="006571CA"/>
    <w:rsid w:val="00657C3D"/>
    <w:rsid w:val="006621B5"/>
    <w:rsid w:val="00662963"/>
    <w:rsid w:val="006648B0"/>
    <w:rsid w:val="0066597F"/>
    <w:rsid w:val="006659F7"/>
    <w:rsid w:val="00670DAC"/>
    <w:rsid w:val="00671A1B"/>
    <w:rsid w:val="00675212"/>
    <w:rsid w:val="006756E4"/>
    <w:rsid w:val="00681087"/>
    <w:rsid w:val="0068194C"/>
    <w:rsid w:val="0068446B"/>
    <w:rsid w:val="006863FA"/>
    <w:rsid w:val="0068776B"/>
    <w:rsid w:val="0068799E"/>
    <w:rsid w:val="00691FAA"/>
    <w:rsid w:val="006945BC"/>
    <w:rsid w:val="006950C1"/>
    <w:rsid w:val="006A162B"/>
    <w:rsid w:val="006A2AC3"/>
    <w:rsid w:val="006A32DB"/>
    <w:rsid w:val="006A3375"/>
    <w:rsid w:val="006A76CF"/>
    <w:rsid w:val="006A7ED4"/>
    <w:rsid w:val="006B0CCE"/>
    <w:rsid w:val="006B0F68"/>
    <w:rsid w:val="006B1BB2"/>
    <w:rsid w:val="006B23F8"/>
    <w:rsid w:val="006B246A"/>
    <w:rsid w:val="006B3FEC"/>
    <w:rsid w:val="006B4D4A"/>
    <w:rsid w:val="006B5168"/>
    <w:rsid w:val="006B5CB7"/>
    <w:rsid w:val="006B7012"/>
    <w:rsid w:val="006C022F"/>
    <w:rsid w:val="006C2266"/>
    <w:rsid w:val="006C4129"/>
    <w:rsid w:val="006C461D"/>
    <w:rsid w:val="006D0DA4"/>
    <w:rsid w:val="006D4D72"/>
    <w:rsid w:val="006D5D0D"/>
    <w:rsid w:val="006E08A2"/>
    <w:rsid w:val="006E1547"/>
    <w:rsid w:val="006E1773"/>
    <w:rsid w:val="006E1F9B"/>
    <w:rsid w:val="006E2C6A"/>
    <w:rsid w:val="006E313A"/>
    <w:rsid w:val="006E4168"/>
    <w:rsid w:val="006E679A"/>
    <w:rsid w:val="006E6FB8"/>
    <w:rsid w:val="006E7567"/>
    <w:rsid w:val="006E7F54"/>
    <w:rsid w:val="006F2550"/>
    <w:rsid w:val="006F27E4"/>
    <w:rsid w:val="006F2924"/>
    <w:rsid w:val="006F4CD4"/>
    <w:rsid w:val="006F7D79"/>
    <w:rsid w:val="00700C5D"/>
    <w:rsid w:val="0070496D"/>
    <w:rsid w:val="0070553C"/>
    <w:rsid w:val="00711B6C"/>
    <w:rsid w:val="00713F7A"/>
    <w:rsid w:val="00720A83"/>
    <w:rsid w:val="00722084"/>
    <w:rsid w:val="00723100"/>
    <w:rsid w:val="0072592A"/>
    <w:rsid w:val="007325AD"/>
    <w:rsid w:val="0073319E"/>
    <w:rsid w:val="007331A9"/>
    <w:rsid w:val="00733F08"/>
    <w:rsid w:val="007342B2"/>
    <w:rsid w:val="00735328"/>
    <w:rsid w:val="0074399A"/>
    <w:rsid w:val="007443EE"/>
    <w:rsid w:val="0074497D"/>
    <w:rsid w:val="00747CC8"/>
    <w:rsid w:val="00750AB8"/>
    <w:rsid w:val="00751304"/>
    <w:rsid w:val="007518CC"/>
    <w:rsid w:val="00760AA6"/>
    <w:rsid w:val="00763D69"/>
    <w:rsid w:val="00764D9E"/>
    <w:rsid w:val="007650E1"/>
    <w:rsid w:val="007654C7"/>
    <w:rsid w:val="00773CDC"/>
    <w:rsid w:val="007770EF"/>
    <w:rsid w:val="00777987"/>
    <w:rsid w:val="00780C05"/>
    <w:rsid w:val="00783321"/>
    <w:rsid w:val="00783DA9"/>
    <w:rsid w:val="007859BE"/>
    <w:rsid w:val="00787BA1"/>
    <w:rsid w:val="00793E45"/>
    <w:rsid w:val="00796852"/>
    <w:rsid w:val="007975E2"/>
    <w:rsid w:val="00797903"/>
    <w:rsid w:val="007A0031"/>
    <w:rsid w:val="007A49E3"/>
    <w:rsid w:val="007A4F22"/>
    <w:rsid w:val="007A5CBD"/>
    <w:rsid w:val="007A76D1"/>
    <w:rsid w:val="007B0266"/>
    <w:rsid w:val="007B1781"/>
    <w:rsid w:val="007C258F"/>
    <w:rsid w:val="007C50A4"/>
    <w:rsid w:val="007D1190"/>
    <w:rsid w:val="007D52E9"/>
    <w:rsid w:val="007D5BB0"/>
    <w:rsid w:val="007D6DEA"/>
    <w:rsid w:val="007D71E7"/>
    <w:rsid w:val="007E0FC5"/>
    <w:rsid w:val="007E10BC"/>
    <w:rsid w:val="007E1F48"/>
    <w:rsid w:val="007E226C"/>
    <w:rsid w:val="007E2F96"/>
    <w:rsid w:val="007F0211"/>
    <w:rsid w:val="007F1233"/>
    <w:rsid w:val="007F1B11"/>
    <w:rsid w:val="007F2552"/>
    <w:rsid w:val="007F4504"/>
    <w:rsid w:val="007F6692"/>
    <w:rsid w:val="00802027"/>
    <w:rsid w:val="008038CE"/>
    <w:rsid w:val="00807F02"/>
    <w:rsid w:val="008128E6"/>
    <w:rsid w:val="00813897"/>
    <w:rsid w:val="00813A09"/>
    <w:rsid w:val="00815B7F"/>
    <w:rsid w:val="00817379"/>
    <w:rsid w:val="00820752"/>
    <w:rsid w:val="008241DE"/>
    <w:rsid w:val="00825EC5"/>
    <w:rsid w:val="00830C70"/>
    <w:rsid w:val="00833EC5"/>
    <w:rsid w:val="0083509C"/>
    <w:rsid w:val="00835EBF"/>
    <w:rsid w:val="00840B4F"/>
    <w:rsid w:val="00845938"/>
    <w:rsid w:val="00850989"/>
    <w:rsid w:val="0085353D"/>
    <w:rsid w:val="00854859"/>
    <w:rsid w:val="00855CFF"/>
    <w:rsid w:val="00857ADE"/>
    <w:rsid w:val="0086021E"/>
    <w:rsid w:val="008619D1"/>
    <w:rsid w:val="008624E5"/>
    <w:rsid w:val="00864159"/>
    <w:rsid w:val="0086760A"/>
    <w:rsid w:val="00870028"/>
    <w:rsid w:val="0087022A"/>
    <w:rsid w:val="00870388"/>
    <w:rsid w:val="00870ADE"/>
    <w:rsid w:val="00872548"/>
    <w:rsid w:val="00872784"/>
    <w:rsid w:val="008735DD"/>
    <w:rsid w:val="00873EA9"/>
    <w:rsid w:val="0087467D"/>
    <w:rsid w:val="00875C4B"/>
    <w:rsid w:val="00876C17"/>
    <w:rsid w:val="0087763B"/>
    <w:rsid w:val="00882015"/>
    <w:rsid w:val="00883442"/>
    <w:rsid w:val="00883867"/>
    <w:rsid w:val="0088441B"/>
    <w:rsid w:val="00884BFC"/>
    <w:rsid w:val="00886A9E"/>
    <w:rsid w:val="00887125"/>
    <w:rsid w:val="0089241F"/>
    <w:rsid w:val="00892621"/>
    <w:rsid w:val="0089339C"/>
    <w:rsid w:val="00893EE6"/>
    <w:rsid w:val="00894C1C"/>
    <w:rsid w:val="00894EA1"/>
    <w:rsid w:val="00895BF0"/>
    <w:rsid w:val="008967BA"/>
    <w:rsid w:val="008A02AD"/>
    <w:rsid w:val="008A0D6B"/>
    <w:rsid w:val="008A1B3A"/>
    <w:rsid w:val="008A2035"/>
    <w:rsid w:val="008A2F4A"/>
    <w:rsid w:val="008A6480"/>
    <w:rsid w:val="008A6672"/>
    <w:rsid w:val="008A75BA"/>
    <w:rsid w:val="008B13F4"/>
    <w:rsid w:val="008B1D26"/>
    <w:rsid w:val="008B3277"/>
    <w:rsid w:val="008B34B8"/>
    <w:rsid w:val="008B36F9"/>
    <w:rsid w:val="008B6346"/>
    <w:rsid w:val="008C0CC0"/>
    <w:rsid w:val="008C2324"/>
    <w:rsid w:val="008C28CF"/>
    <w:rsid w:val="008C4263"/>
    <w:rsid w:val="008C60AB"/>
    <w:rsid w:val="008D0F1A"/>
    <w:rsid w:val="008D0FB8"/>
    <w:rsid w:val="008D31A5"/>
    <w:rsid w:val="008E01D0"/>
    <w:rsid w:val="008E11F9"/>
    <w:rsid w:val="008E26AF"/>
    <w:rsid w:val="008E3933"/>
    <w:rsid w:val="008E3B28"/>
    <w:rsid w:val="008E7051"/>
    <w:rsid w:val="008F2BF1"/>
    <w:rsid w:val="008F55F3"/>
    <w:rsid w:val="008F6EFC"/>
    <w:rsid w:val="00900B5A"/>
    <w:rsid w:val="009010EB"/>
    <w:rsid w:val="00901F5E"/>
    <w:rsid w:val="00902173"/>
    <w:rsid w:val="00902482"/>
    <w:rsid w:val="00902A50"/>
    <w:rsid w:val="00902F1B"/>
    <w:rsid w:val="009115C2"/>
    <w:rsid w:val="00912621"/>
    <w:rsid w:val="00912C67"/>
    <w:rsid w:val="00913525"/>
    <w:rsid w:val="009145C3"/>
    <w:rsid w:val="00915D77"/>
    <w:rsid w:val="00921654"/>
    <w:rsid w:val="009222F7"/>
    <w:rsid w:val="0092243D"/>
    <w:rsid w:val="00925F89"/>
    <w:rsid w:val="00926136"/>
    <w:rsid w:val="009277EA"/>
    <w:rsid w:val="00927B01"/>
    <w:rsid w:val="00930751"/>
    <w:rsid w:val="00931D9E"/>
    <w:rsid w:val="0093257B"/>
    <w:rsid w:val="00934E9C"/>
    <w:rsid w:val="0093514C"/>
    <w:rsid w:val="0093787D"/>
    <w:rsid w:val="00941B96"/>
    <w:rsid w:val="00941E0E"/>
    <w:rsid w:val="00942CBC"/>
    <w:rsid w:val="00946D6F"/>
    <w:rsid w:val="0095179D"/>
    <w:rsid w:val="00952277"/>
    <w:rsid w:val="00954080"/>
    <w:rsid w:val="00955562"/>
    <w:rsid w:val="0096021C"/>
    <w:rsid w:val="00960A8E"/>
    <w:rsid w:val="00960B5A"/>
    <w:rsid w:val="0096151A"/>
    <w:rsid w:val="0096465D"/>
    <w:rsid w:val="00964B0F"/>
    <w:rsid w:val="00966DE5"/>
    <w:rsid w:val="00971232"/>
    <w:rsid w:val="009727FF"/>
    <w:rsid w:val="00973068"/>
    <w:rsid w:val="00976584"/>
    <w:rsid w:val="009801C4"/>
    <w:rsid w:val="009808BF"/>
    <w:rsid w:val="00981E0C"/>
    <w:rsid w:val="00983805"/>
    <w:rsid w:val="00986F6D"/>
    <w:rsid w:val="0099062F"/>
    <w:rsid w:val="009919D9"/>
    <w:rsid w:val="00992F4B"/>
    <w:rsid w:val="009945EE"/>
    <w:rsid w:val="00994A61"/>
    <w:rsid w:val="009955CE"/>
    <w:rsid w:val="009961C3"/>
    <w:rsid w:val="009A0610"/>
    <w:rsid w:val="009A1C85"/>
    <w:rsid w:val="009B0615"/>
    <w:rsid w:val="009B0A11"/>
    <w:rsid w:val="009B1052"/>
    <w:rsid w:val="009B49A1"/>
    <w:rsid w:val="009B671E"/>
    <w:rsid w:val="009B758A"/>
    <w:rsid w:val="009B7DD9"/>
    <w:rsid w:val="009C277E"/>
    <w:rsid w:val="009C2B7E"/>
    <w:rsid w:val="009C61A6"/>
    <w:rsid w:val="009D571D"/>
    <w:rsid w:val="009D5B59"/>
    <w:rsid w:val="009D5D58"/>
    <w:rsid w:val="009D606D"/>
    <w:rsid w:val="009D659B"/>
    <w:rsid w:val="009E1923"/>
    <w:rsid w:val="009F078F"/>
    <w:rsid w:val="009F3C9E"/>
    <w:rsid w:val="009F412D"/>
    <w:rsid w:val="009F486C"/>
    <w:rsid w:val="009F57AF"/>
    <w:rsid w:val="009F59B4"/>
    <w:rsid w:val="009F7563"/>
    <w:rsid w:val="00A00474"/>
    <w:rsid w:val="00A00DB6"/>
    <w:rsid w:val="00A0236C"/>
    <w:rsid w:val="00A04050"/>
    <w:rsid w:val="00A11290"/>
    <w:rsid w:val="00A12259"/>
    <w:rsid w:val="00A155C3"/>
    <w:rsid w:val="00A16ECD"/>
    <w:rsid w:val="00A20452"/>
    <w:rsid w:val="00A208A4"/>
    <w:rsid w:val="00A23F52"/>
    <w:rsid w:val="00A2447A"/>
    <w:rsid w:val="00A24C2C"/>
    <w:rsid w:val="00A24E7B"/>
    <w:rsid w:val="00A25143"/>
    <w:rsid w:val="00A25DC6"/>
    <w:rsid w:val="00A30358"/>
    <w:rsid w:val="00A31471"/>
    <w:rsid w:val="00A41085"/>
    <w:rsid w:val="00A429D7"/>
    <w:rsid w:val="00A445E0"/>
    <w:rsid w:val="00A46575"/>
    <w:rsid w:val="00A53F48"/>
    <w:rsid w:val="00A55D8B"/>
    <w:rsid w:val="00A569EA"/>
    <w:rsid w:val="00A612F8"/>
    <w:rsid w:val="00A62D8D"/>
    <w:rsid w:val="00A653B0"/>
    <w:rsid w:val="00A655BF"/>
    <w:rsid w:val="00A66A4C"/>
    <w:rsid w:val="00A67EA7"/>
    <w:rsid w:val="00A72255"/>
    <w:rsid w:val="00A7638C"/>
    <w:rsid w:val="00A81ABE"/>
    <w:rsid w:val="00A926DF"/>
    <w:rsid w:val="00A95B4B"/>
    <w:rsid w:val="00A97C9B"/>
    <w:rsid w:val="00AA12BB"/>
    <w:rsid w:val="00AA15CE"/>
    <w:rsid w:val="00AA2144"/>
    <w:rsid w:val="00AA3EDA"/>
    <w:rsid w:val="00AA4AF4"/>
    <w:rsid w:val="00AA4B26"/>
    <w:rsid w:val="00AA65A3"/>
    <w:rsid w:val="00AB1CA3"/>
    <w:rsid w:val="00AB544F"/>
    <w:rsid w:val="00AC16CC"/>
    <w:rsid w:val="00AD1603"/>
    <w:rsid w:val="00AD3046"/>
    <w:rsid w:val="00AD4BE8"/>
    <w:rsid w:val="00AD5520"/>
    <w:rsid w:val="00AD5B88"/>
    <w:rsid w:val="00AD7371"/>
    <w:rsid w:val="00AE63C0"/>
    <w:rsid w:val="00AF1A75"/>
    <w:rsid w:val="00AF2F00"/>
    <w:rsid w:val="00AF4E97"/>
    <w:rsid w:val="00AF535D"/>
    <w:rsid w:val="00AF6BC9"/>
    <w:rsid w:val="00B004EC"/>
    <w:rsid w:val="00B01D57"/>
    <w:rsid w:val="00B03498"/>
    <w:rsid w:val="00B03BC7"/>
    <w:rsid w:val="00B0537E"/>
    <w:rsid w:val="00B059F6"/>
    <w:rsid w:val="00B06B64"/>
    <w:rsid w:val="00B11A35"/>
    <w:rsid w:val="00B11D06"/>
    <w:rsid w:val="00B13974"/>
    <w:rsid w:val="00B17B3C"/>
    <w:rsid w:val="00B21FAD"/>
    <w:rsid w:val="00B22E25"/>
    <w:rsid w:val="00B233C7"/>
    <w:rsid w:val="00B24744"/>
    <w:rsid w:val="00B24947"/>
    <w:rsid w:val="00B25D30"/>
    <w:rsid w:val="00B318C3"/>
    <w:rsid w:val="00B32376"/>
    <w:rsid w:val="00B34D2F"/>
    <w:rsid w:val="00B34F3B"/>
    <w:rsid w:val="00B35216"/>
    <w:rsid w:val="00B36448"/>
    <w:rsid w:val="00B374AD"/>
    <w:rsid w:val="00B3794C"/>
    <w:rsid w:val="00B41593"/>
    <w:rsid w:val="00B419F9"/>
    <w:rsid w:val="00B42ECF"/>
    <w:rsid w:val="00B43095"/>
    <w:rsid w:val="00B447F6"/>
    <w:rsid w:val="00B472B8"/>
    <w:rsid w:val="00B52814"/>
    <w:rsid w:val="00B54AC6"/>
    <w:rsid w:val="00B5553D"/>
    <w:rsid w:val="00B57BB2"/>
    <w:rsid w:val="00B60594"/>
    <w:rsid w:val="00B6154B"/>
    <w:rsid w:val="00B62062"/>
    <w:rsid w:val="00B659AC"/>
    <w:rsid w:val="00B67502"/>
    <w:rsid w:val="00B70E81"/>
    <w:rsid w:val="00B7153B"/>
    <w:rsid w:val="00B7260F"/>
    <w:rsid w:val="00B73C93"/>
    <w:rsid w:val="00B75B9E"/>
    <w:rsid w:val="00B75D9D"/>
    <w:rsid w:val="00B81353"/>
    <w:rsid w:val="00B81C3F"/>
    <w:rsid w:val="00B82364"/>
    <w:rsid w:val="00B82F2D"/>
    <w:rsid w:val="00B83173"/>
    <w:rsid w:val="00B84FA9"/>
    <w:rsid w:val="00B853C6"/>
    <w:rsid w:val="00B8645B"/>
    <w:rsid w:val="00B869A9"/>
    <w:rsid w:val="00BA17CA"/>
    <w:rsid w:val="00BA2B86"/>
    <w:rsid w:val="00BA5E3B"/>
    <w:rsid w:val="00BA7236"/>
    <w:rsid w:val="00BA79E2"/>
    <w:rsid w:val="00BA79F7"/>
    <w:rsid w:val="00BA7A4F"/>
    <w:rsid w:val="00BB099B"/>
    <w:rsid w:val="00BB161F"/>
    <w:rsid w:val="00BB2B70"/>
    <w:rsid w:val="00BB3FB7"/>
    <w:rsid w:val="00BB504E"/>
    <w:rsid w:val="00BB5736"/>
    <w:rsid w:val="00BB7EEF"/>
    <w:rsid w:val="00BC06A6"/>
    <w:rsid w:val="00BC106F"/>
    <w:rsid w:val="00BC19DA"/>
    <w:rsid w:val="00BD034E"/>
    <w:rsid w:val="00BD09B4"/>
    <w:rsid w:val="00BD0D63"/>
    <w:rsid w:val="00BD147B"/>
    <w:rsid w:val="00BD197E"/>
    <w:rsid w:val="00BD2713"/>
    <w:rsid w:val="00BD2797"/>
    <w:rsid w:val="00BD5D43"/>
    <w:rsid w:val="00BD5F72"/>
    <w:rsid w:val="00BD7EA5"/>
    <w:rsid w:val="00BE04FD"/>
    <w:rsid w:val="00BE3860"/>
    <w:rsid w:val="00BE4B20"/>
    <w:rsid w:val="00BE5781"/>
    <w:rsid w:val="00BF1775"/>
    <w:rsid w:val="00BF35A0"/>
    <w:rsid w:val="00BF4643"/>
    <w:rsid w:val="00BF720C"/>
    <w:rsid w:val="00C00FD0"/>
    <w:rsid w:val="00C03D9C"/>
    <w:rsid w:val="00C046E4"/>
    <w:rsid w:val="00C07F7C"/>
    <w:rsid w:val="00C11A3A"/>
    <w:rsid w:val="00C1708A"/>
    <w:rsid w:val="00C219BB"/>
    <w:rsid w:val="00C22B57"/>
    <w:rsid w:val="00C23F08"/>
    <w:rsid w:val="00C242A1"/>
    <w:rsid w:val="00C24E3D"/>
    <w:rsid w:val="00C25835"/>
    <w:rsid w:val="00C268DB"/>
    <w:rsid w:val="00C3262E"/>
    <w:rsid w:val="00C32AC5"/>
    <w:rsid w:val="00C34640"/>
    <w:rsid w:val="00C353FD"/>
    <w:rsid w:val="00C4309E"/>
    <w:rsid w:val="00C4504F"/>
    <w:rsid w:val="00C45417"/>
    <w:rsid w:val="00C529F0"/>
    <w:rsid w:val="00C57905"/>
    <w:rsid w:val="00C62FC0"/>
    <w:rsid w:val="00C6362E"/>
    <w:rsid w:val="00C63FF5"/>
    <w:rsid w:val="00C64A89"/>
    <w:rsid w:val="00C714F4"/>
    <w:rsid w:val="00C71E40"/>
    <w:rsid w:val="00C71F02"/>
    <w:rsid w:val="00C72FFD"/>
    <w:rsid w:val="00C750B2"/>
    <w:rsid w:val="00C76970"/>
    <w:rsid w:val="00C775C2"/>
    <w:rsid w:val="00C77BEE"/>
    <w:rsid w:val="00C81794"/>
    <w:rsid w:val="00C826C3"/>
    <w:rsid w:val="00C8281F"/>
    <w:rsid w:val="00C83202"/>
    <w:rsid w:val="00C85B50"/>
    <w:rsid w:val="00C86891"/>
    <w:rsid w:val="00C94FE2"/>
    <w:rsid w:val="00C95C3B"/>
    <w:rsid w:val="00C9632F"/>
    <w:rsid w:val="00C9700C"/>
    <w:rsid w:val="00C97244"/>
    <w:rsid w:val="00CA3D8B"/>
    <w:rsid w:val="00CA48CF"/>
    <w:rsid w:val="00CA4A85"/>
    <w:rsid w:val="00CA4F49"/>
    <w:rsid w:val="00CA56F4"/>
    <w:rsid w:val="00CA6128"/>
    <w:rsid w:val="00CA65F5"/>
    <w:rsid w:val="00CB2A02"/>
    <w:rsid w:val="00CB2B1B"/>
    <w:rsid w:val="00CB4029"/>
    <w:rsid w:val="00CB5C40"/>
    <w:rsid w:val="00CB6BFA"/>
    <w:rsid w:val="00CB6F75"/>
    <w:rsid w:val="00CC1085"/>
    <w:rsid w:val="00CC28C8"/>
    <w:rsid w:val="00CC44C9"/>
    <w:rsid w:val="00CC517E"/>
    <w:rsid w:val="00CC567B"/>
    <w:rsid w:val="00CC5A47"/>
    <w:rsid w:val="00CC70AF"/>
    <w:rsid w:val="00CC7410"/>
    <w:rsid w:val="00CD38EA"/>
    <w:rsid w:val="00CD72BE"/>
    <w:rsid w:val="00CD7AD9"/>
    <w:rsid w:val="00CE029D"/>
    <w:rsid w:val="00CE44D1"/>
    <w:rsid w:val="00CE5949"/>
    <w:rsid w:val="00CE5A0E"/>
    <w:rsid w:val="00CF1277"/>
    <w:rsid w:val="00CF35EE"/>
    <w:rsid w:val="00CF3D9C"/>
    <w:rsid w:val="00CF61DD"/>
    <w:rsid w:val="00CF6330"/>
    <w:rsid w:val="00CF666C"/>
    <w:rsid w:val="00CF798C"/>
    <w:rsid w:val="00CF7E3A"/>
    <w:rsid w:val="00CF7F73"/>
    <w:rsid w:val="00D00782"/>
    <w:rsid w:val="00D03B4F"/>
    <w:rsid w:val="00D110DB"/>
    <w:rsid w:val="00D21016"/>
    <w:rsid w:val="00D23BE1"/>
    <w:rsid w:val="00D27E2B"/>
    <w:rsid w:val="00D33A72"/>
    <w:rsid w:val="00D3459F"/>
    <w:rsid w:val="00D4020C"/>
    <w:rsid w:val="00D43567"/>
    <w:rsid w:val="00D50A24"/>
    <w:rsid w:val="00D524FD"/>
    <w:rsid w:val="00D528FF"/>
    <w:rsid w:val="00D560B1"/>
    <w:rsid w:val="00D56509"/>
    <w:rsid w:val="00D56CAF"/>
    <w:rsid w:val="00D6104F"/>
    <w:rsid w:val="00D64B93"/>
    <w:rsid w:val="00D66950"/>
    <w:rsid w:val="00D74C00"/>
    <w:rsid w:val="00D7541B"/>
    <w:rsid w:val="00D75668"/>
    <w:rsid w:val="00D76211"/>
    <w:rsid w:val="00D7746E"/>
    <w:rsid w:val="00D82442"/>
    <w:rsid w:val="00D828AA"/>
    <w:rsid w:val="00D84E76"/>
    <w:rsid w:val="00D85AD1"/>
    <w:rsid w:val="00D90F7B"/>
    <w:rsid w:val="00D917FD"/>
    <w:rsid w:val="00D96652"/>
    <w:rsid w:val="00DA192B"/>
    <w:rsid w:val="00DA1C9F"/>
    <w:rsid w:val="00DA2A5E"/>
    <w:rsid w:val="00DA3ED8"/>
    <w:rsid w:val="00DA5712"/>
    <w:rsid w:val="00DA6385"/>
    <w:rsid w:val="00DB0E7A"/>
    <w:rsid w:val="00DB4063"/>
    <w:rsid w:val="00DB6BE3"/>
    <w:rsid w:val="00DC023C"/>
    <w:rsid w:val="00DC0D79"/>
    <w:rsid w:val="00DC26BB"/>
    <w:rsid w:val="00DC3C0D"/>
    <w:rsid w:val="00DC3E42"/>
    <w:rsid w:val="00DC3E78"/>
    <w:rsid w:val="00DC3EC3"/>
    <w:rsid w:val="00DC49CD"/>
    <w:rsid w:val="00DC792E"/>
    <w:rsid w:val="00DD03D8"/>
    <w:rsid w:val="00DD3F3D"/>
    <w:rsid w:val="00DD3FB6"/>
    <w:rsid w:val="00DD78C2"/>
    <w:rsid w:val="00DE1D00"/>
    <w:rsid w:val="00DE2FE7"/>
    <w:rsid w:val="00DE340E"/>
    <w:rsid w:val="00DF3CF3"/>
    <w:rsid w:val="00E0232A"/>
    <w:rsid w:val="00E02925"/>
    <w:rsid w:val="00E07283"/>
    <w:rsid w:val="00E1012E"/>
    <w:rsid w:val="00E1027E"/>
    <w:rsid w:val="00E10798"/>
    <w:rsid w:val="00E1089E"/>
    <w:rsid w:val="00E11C4A"/>
    <w:rsid w:val="00E13B73"/>
    <w:rsid w:val="00E14171"/>
    <w:rsid w:val="00E172A6"/>
    <w:rsid w:val="00E20BF7"/>
    <w:rsid w:val="00E20D97"/>
    <w:rsid w:val="00E216B1"/>
    <w:rsid w:val="00E229AB"/>
    <w:rsid w:val="00E2691F"/>
    <w:rsid w:val="00E3231B"/>
    <w:rsid w:val="00E34D20"/>
    <w:rsid w:val="00E35C13"/>
    <w:rsid w:val="00E366EB"/>
    <w:rsid w:val="00E36DA8"/>
    <w:rsid w:val="00E43053"/>
    <w:rsid w:val="00E44484"/>
    <w:rsid w:val="00E51BB1"/>
    <w:rsid w:val="00E5372F"/>
    <w:rsid w:val="00E546C3"/>
    <w:rsid w:val="00E56A81"/>
    <w:rsid w:val="00E576B9"/>
    <w:rsid w:val="00E57D6E"/>
    <w:rsid w:val="00E6022B"/>
    <w:rsid w:val="00E60518"/>
    <w:rsid w:val="00E6337A"/>
    <w:rsid w:val="00E63B11"/>
    <w:rsid w:val="00E63D22"/>
    <w:rsid w:val="00E66EF0"/>
    <w:rsid w:val="00E73583"/>
    <w:rsid w:val="00E77528"/>
    <w:rsid w:val="00E809E3"/>
    <w:rsid w:val="00E814A1"/>
    <w:rsid w:val="00E81BBF"/>
    <w:rsid w:val="00E83B5B"/>
    <w:rsid w:val="00E84B98"/>
    <w:rsid w:val="00E90FDD"/>
    <w:rsid w:val="00E92107"/>
    <w:rsid w:val="00E95EB3"/>
    <w:rsid w:val="00E96A26"/>
    <w:rsid w:val="00E973B9"/>
    <w:rsid w:val="00E97787"/>
    <w:rsid w:val="00EA013C"/>
    <w:rsid w:val="00EA0603"/>
    <w:rsid w:val="00EA25D2"/>
    <w:rsid w:val="00EA4C46"/>
    <w:rsid w:val="00EB13BC"/>
    <w:rsid w:val="00EB1821"/>
    <w:rsid w:val="00EB1AD3"/>
    <w:rsid w:val="00EB2061"/>
    <w:rsid w:val="00EB2480"/>
    <w:rsid w:val="00EB3A34"/>
    <w:rsid w:val="00EB4FDC"/>
    <w:rsid w:val="00EB5702"/>
    <w:rsid w:val="00EC0C70"/>
    <w:rsid w:val="00EC0CB0"/>
    <w:rsid w:val="00EC0DB6"/>
    <w:rsid w:val="00EC3041"/>
    <w:rsid w:val="00EC31D4"/>
    <w:rsid w:val="00EC67CA"/>
    <w:rsid w:val="00EC70E4"/>
    <w:rsid w:val="00ED1945"/>
    <w:rsid w:val="00ED2997"/>
    <w:rsid w:val="00ED2B57"/>
    <w:rsid w:val="00ED3BDD"/>
    <w:rsid w:val="00ED4173"/>
    <w:rsid w:val="00ED5441"/>
    <w:rsid w:val="00ED5531"/>
    <w:rsid w:val="00ED59D0"/>
    <w:rsid w:val="00ED686A"/>
    <w:rsid w:val="00ED71B2"/>
    <w:rsid w:val="00EE1921"/>
    <w:rsid w:val="00EE2002"/>
    <w:rsid w:val="00EE6083"/>
    <w:rsid w:val="00EE7C35"/>
    <w:rsid w:val="00EF22BB"/>
    <w:rsid w:val="00EF4108"/>
    <w:rsid w:val="00F002C2"/>
    <w:rsid w:val="00F0053A"/>
    <w:rsid w:val="00F00567"/>
    <w:rsid w:val="00F010EA"/>
    <w:rsid w:val="00F01F0B"/>
    <w:rsid w:val="00F0284B"/>
    <w:rsid w:val="00F05757"/>
    <w:rsid w:val="00F05D05"/>
    <w:rsid w:val="00F064EC"/>
    <w:rsid w:val="00F0691E"/>
    <w:rsid w:val="00F145B3"/>
    <w:rsid w:val="00F22798"/>
    <w:rsid w:val="00F2518D"/>
    <w:rsid w:val="00F25907"/>
    <w:rsid w:val="00F26BF1"/>
    <w:rsid w:val="00F4339F"/>
    <w:rsid w:val="00F4449F"/>
    <w:rsid w:val="00F46040"/>
    <w:rsid w:val="00F47584"/>
    <w:rsid w:val="00F50930"/>
    <w:rsid w:val="00F52594"/>
    <w:rsid w:val="00F575AA"/>
    <w:rsid w:val="00F60A6D"/>
    <w:rsid w:val="00F62CB5"/>
    <w:rsid w:val="00F65E52"/>
    <w:rsid w:val="00F6636B"/>
    <w:rsid w:val="00F66DB7"/>
    <w:rsid w:val="00F672CA"/>
    <w:rsid w:val="00F7008A"/>
    <w:rsid w:val="00F701B1"/>
    <w:rsid w:val="00F717C4"/>
    <w:rsid w:val="00F71B0E"/>
    <w:rsid w:val="00F73A91"/>
    <w:rsid w:val="00F76CA0"/>
    <w:rsid w:val="00F772CB"/>
    <w:rsid w:val="00F77AE6"/>
    <w:rsid w:val="00F830B5"/>
    <w:rsid w:val="00F83A2F"/>
    <w:rsid w:val="00F84FBF"/>
    <w:rsid w:val="00F85152"/>
    <w:rsid w:val="00F86979"/>
    <w:rsid w:val="00F930B5"/>
    <w:rsid w:val="00F9319F"/>
    <w:rsid w:val="00F94EBD"/>
    <w:rsid w:val="00F97C62"/>
    <w:rsid w:val="00F97ECC"/>
    <w:rsid w:val="00FA0737"/>
    <w:rsid w:val="00FA210A"/>
    <w:rsid w:val="00FA2855"/>
    <w:rsid w:val="00FA2F81"/>
    <w:rsid w:val="00FA52E2"/>
    <w:rsid w:val="00FA6062"/>
    <w:rsid w:val="00FB08A8"/>
    <w:rsid w:val="00FB270C"/>
    <w:rsid w:val="00FB472B"/>
    <w:rsid w:val="00FB5252"/>
    <w:rsid w:val="00FB76B9"/>
    <w:rsid w:val="00FC1413"/>
    <w:rsid w:val="00FC1D99"/>
    <w:rsid w:val="00FC408A"/>
    <w:rsid w:val="00FC416D"/>
    <w:rsid w:val="00FC477E"/>
    <w:rsid w:val="00FC4F33"/>
    <w:rsid w:val="00FC5C56"/>
    <w:rsid w:val="00FC7587"/>
    <w:rsid w:val="00FD1787"/>
    <w:rsid w:val="00FE152F"/>
    <w:rsid w:val="00FE163D"/>
    <w:rsid w:val="00FE3521"/>
    <w:rsid w:val="00FE4CB7"/>
    <w:rsid w:val="00FE69A5"/>
    <w:rsid w:val="00FE7D72"/>
    <w:rsid w:val="00FF0D86"/>
    <w:rsid w:val="00FF1BC2"/>
    <w:rsid w:val="00FF2FF6"/>
    <w:rsid w:val="00FF4F7F"/>
    <w:rsid w:val="00FF636E"/>
    <w:rsid w:val="00FF6855"/>
    <w:rsid w:val="00FF7718"/>
    <w:rsid w:val="00FF79C2"/>
    <w:rsid w:val="139B7B35"/>
    <w:rsid w:val="18DB57E4"/>
    <w:rsid w:val="1EC002A2"/>
    <w:rsid w:val="1F00DCAE"/>
    <w:rsid w:val="2A6EC66F"/>
    <w:rsid w:val="2F97D4DD"/>
    <w:rsid w:val="3023217F"/>
    <w:rsid w:val="37C70FFE"/>
    <w:rsid w:val="395519FC"/>
    <w:rsid w:val="65A69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C8C47"/>
  <w15:docId w15:val="{1459F8E6-59B5-4F5B-8DB5-5DA3BDA6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6B8C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FB2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270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270C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70C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053D"/>
    <w:pPr>
      <w:suppressAutoHyphens w:val="0"/>
      <w:autoSpaceDN/>
      <w:textAlignment w:val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053D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2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2A1"/>
  </w:style>
  <w:style w:type="paragraph" w:styleId="Stopka">
    <w:name w:val="footer"/>
    <w:basedOn w:val="Normalny"/>
    <w:link w:val="StopkaZnak"/>
    <w:uiPriority w:val="99"/>
    <w:unhideWhenUsed/>
    <w:rsid w:val="00C2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2A1"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2E2BD3"/>
    <w:pPr>
      <w:ind w:left="720"/>
      <w:contextualSpacing/>
    </w:pPr>
  </w:style>
  <w:style w:type="paragraph" w:customStyle="1" w:styleId="Style11">
    <w:name w:val="Style11"/>
    <w:basedOn w:val="Normalny"/>
    <w:uiPriority w:val="99"/>
    <w:rsid w:val="004F0F8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78">
    <w:name w:val="Font Style78"/>
    <w:basedOn w:val="Domylnaczcionkaakapitu"/>
    <w:uiPriority w:val="99"/>
    <w:rsid w:val="004F0F86"/>
    <w:rPr>
      <w:rFonts w:ascii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3B2B0F"/>
    <w:pPr>
      <w:spacing w:after="0" w:line="240" w:lineRule="auto"/>
    </w:pPr>
  </w:style>
  <w:style w:type="paragraph" w:customStyle="1" w:styleId="Default">
    <w:name w:val="Default"/>
    <w:rsid w:val="00B715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99"/>
    <w:rsid w:val="00B374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0923C8"/>
  </w:style>
  <w:style w:type="character" w:customStyle="1" w:styleId="normaltextrun">
    <w:name w:val="normaltextrun"/>
    <w:basedOn w:val="Domylnaczcionkaakapitu"/>
    <w:rsid w:val="00960B5A"/>
  </w:style>
  <w:style w:type="character" w:customStyle="1" w:styleId="eop">
    <w:name w:val="eop"/>
    <w:basedOn w:val="Domylnaczcionkaakapitu"/>
    <w:rsid w:val="00960B5A"/>
  </w:style>
  <w:style w:type="paragraph" w:customStyle="1" w:styleId="ListParagraph0">
    <w:name w:val="List Paragraph0"/>
    <w:aliases w:val="Paragraf,Punkt 1.1"/>
    <w:basedOn w:val="Normalny"/>
    <w:link w:val="ListParagraphChar1"/>
    <w:rsid w:val="006863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ListParagraphChar1">
    <w:name w:val="List Paragraph Char1"/>
    <w:aliases w:val="Paragraf Char1,Punkt 1.1 Char1"/>
    <w:link w:val="ListParagraph0"/>
    <w:locked/>
    <w:rsid w:val="006863F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4B6B8C"/>
    <w:rPr>
      <w:rFonts w:ascii="Arial" w:eastAsiaTheme="majorEastAsia" w:hAnsi="Arial" w:cstheme="majorBidi"/>
      <w:b/>
      <w:sz w:val="24"/>
      <w:szCs w:val="32"/>
    </w:r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,Znak Zn,Podrozdzia³,F"/>
    <w:basedOn w:val="Normalny"/>
    <w:link w:val="TekstprzypisudolnegoZnak"/>
    <w:unhideWhenUsed/>
    <w:qFormat/>
    <w:rsid w:val="005C27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link w:val="Tekstprzypisudolnego"/>
    <w:rsid w:val="005C2750"/>
    <w:rPr>
      <w:sz w:val="20"/>
      <w:szCs w:val="20"/>
    </w:rPr>
  </w:style>
  <w:style w:type="character" w:styleId="Odwoanieprzypisudolnego">
    <w:name w:val="footnote reference"/>
    <w:aliases w:val="Footnote Reference Number,Appel note de bas de p,Odwołanie przypisu,Footnote symbol,Nota,BVI fnr,SUPERS,Footnote reference number,note TESI,Footnote Reference Superscript,EN Footnote Reference,Footnote number,FZ,Ref,number,fr"/>
    <w:basedOn w:val="Domylnaczcionkaakapitu"/>
    <w:uiPriority w:val="99"/>
    <w:unhideWhenUsed/>
    <w:rsid w:val="005C275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3126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12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581C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C750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9D9F6-2E17-4B3C-8C0B-CD3E79D405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730908-EA5E-4D54-9D93-361334738B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19</Pages>
  <Words>3645</Words>
  <Characters>21871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wskaźników dotyczących Działania 10.3</vt:lpstr>
    </vt:vector>
  </TitlesOfParts>
  <Company/>
  <LinksUpToDate>false</LinksUpToDate>
  <CharactersWithSpaces>25466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wskaźników dotyczących Działania 10.3</dc:title>
  <dc:subject/>
  <dc:creator>Alicja Ciorgoń</dc:creator>
  <cp:keywords/>
  <cp:lastModifiedBy>Patrycja Bieńczak-Kożusznik</cp:lastModifiedBy>
  <cp:revision>20</cp:revision>
  <cp:lastPrinted>2026-07-03T08:51:00Z</cp:lastPrinted>
  <dcterms:created xsi:type="dcterms:W3CDTF">2026-07-03T11:57:00Z</dcterms:created>
  <dcterms:modified xsi:type="dcterms:W3CDTF">2026-07-15T09:59:00Z</dcterms:modified>
</cp:coreProperties>
</file>