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EF51" w14:textId="67E31E4E" w:rsidR="00FB270C" w:rsidRPr="00E76A00" w:rsidRDefault="00D917FD" w:rsidP="5374CCBB">
      <w:pPr>
        <w:spacing w:before="120" w:after="120"/>
        <w:rPr>
          <w:rFonts w:ascii="Arial" w:hAnsi="Arial" w:cs="Arial"/>
          <w:b/>
          <w:bCs/>
          <w:sz w:val="24"/>
          <w:szCs w:val="24"/>
          <w:highlight w:val="yellow"/>
        </w:rPr>
      </w:pPr>
      <w:r w:rsidRPr="5374CCBB">
        <w:rPr>
          <w:rFonts w:ascii="Arial" w:hAnsi="Arial" w:cs="Arial"/>
          <w:b/>
          <w:bCs/>
          <w:sz w:val="24"/>
          <w:szCs w:val="24"/>
        </w:rPr>
        <w:t xml:space="preserve">Załącznik nr 4 do Regulaminu </w:t>
      </w:r>
      <w:r w:rsidR="00B75B9E" w:rsidRPr="5374CCBB">
        <w:rPr>
          <w:rFonts w:ascii="Arial" w:hAnsi="Arial" w:cs="Arial"/>
          <w:b/>
          <w:bCs/>
          <w:sz w:val="24"/>
          <w:szCs w:val="24"/>
        </w:rPr>
        <w:t>wyboru projektów</w:t>
      </w:r>
      <w:r w:rsidRPr="5374CCBB">
        <w:rPr>
          <w:rFonts w:ascii="Arial" w:hAnsi="Arial" w:cs="Arial"/>
          <w:b/>
          <w:bCs/>
          <w:sz w:val="24"/>
          <w:szCs w:val="24"/>
        </w:rPr>
        <w:t xml:space="preserve">: </w:t>
      </w:r>
      <w:r w:rsidR="00294668" w:rsidRPr="5374CCBB">
        <w:rPr>
          <w:rFonts w:ascii="Arial" w:hAnsi="Arial" w:cs="Arial"/>
          <w:b/>
          <w:bCs/>
          <w:sz w:val="24"/>
          <w:szCs w:val="24"/>
        </w:rPr>
        <w:t xml:space="preserve">Wykaz wskaźników dotyczących Działania </w:t>
      </w:r>
      <w:r w:rsidR="00C1225A" w:rsidRPr="5374CCBB">
        <w:rPr>
          <w:rFonts w:ascii="Arial" w:hAnsi="Arial" w:cs="Arial"/>
          <w:b/>
          <w:bCs/>
          <w:sz w:val="24"/>
          <w:szCs w:val="24"/>
        </w:rPr>
        <w:t>8.</w:t>
      </w:r>
      <w:r w:rsidR="00373585" w:rsidRPr="5374CCBB">
        <w:rPr>
          <w:rFonts w:ascii="Arial" w:hAnsi="Arial" w:cs="Arial"/>
          <w:b/>
          <w:bCs/>
          <w:sz w:val="24"/>
          <w:szCs w:val="24"/>
        </w:rPr>
        <w:t>2</w:t>
      </w:r>
      <w:r w:rsidR="4C522B42" w:rsidRPr="5374CCBB">
        <w:rPr>
          <w:rFonts w:ascii="Arial" w:hAnsi="Arial" w:cs="Arial"/>
          <w:b/>
          <w:bCs/>
          <w:sz w:val="24"/>
          <w:szCs w:val="24"/>
        </w:rPr>
        <w:t xml:space="preserve"> Ekonomia Społeczna</w:t>
      </w:r>
      <w:r w:rsidR="00B75B9E" w:rsidRPr="5374CCBB">
        <w:rPr>
          <w:rFonts w:ascii="Arial" w:hAnsi="Arial" w:cs="Arial"/>
          <w:b/>
          <w:bCs/>
          <w:sz w:val="24"/>
          <w:szCs w:val="24"/>
        </w:rPr>
        <w:t xml:space="preserve"> </w:t>
      </w:r>
      <w:r w:rsidR="0096151A" w:rsidRPr="5374CCBB">
        <w:rPr>
          <w:rFonts w:ascii="Arial" w:hAnsi="Arial" w:cs="Arial"/>
          <w:b/>
          <w:bCs/>
          <w:sz w:val="24"/>
          <w:szCs w:val="24"/>
        </w:rPr>
        <w:t>programu Fundusze Europejskie dla Lubelskiego 2021-2027</w:t>
      </w:r>
    </w:p>
    <w:p w14:paraId="7F24B132" w14:textId="77777777" w:rsidR="00C1225A" w:rsidRDefault="00C1225A" w:rsidP="00C1225A">
      <w:pPr>
        <w:spacing w:after="120"/>
        <w:rPr>
          <w:rFonts w:ascii="Arial" w:hAnsi="Arial" w:cs="Arial"/>
          <w:iCs/>
          <w:sz w:val="24"/>
          <w:szCs w:val="24"/>
        </w:rPr>
      </w:pPr>
    </w:p>
    <w:p w14:paraId="78527080" w14:textId="2EFFE31E" w:rsidR="00C1225A" w:rsidRDefault="00C76970" w:rsidP="5374CCBB">
      <w:pPr>
        <w:pStyle w:val="Akapitzlist1"/>
        <w:tabs>
          <w:tab w:val="left" w:pos="363"/>
          <w:tab w:val="left" w:pos="426"/>
        </w:tabs>
        <w:spacing w:before="120" w:after="60" w:line="276" w:lineRule="auto"/>
        <w:ind w:left="357"/>
        <w:rPr>
          <w:rFonts w:ascii="Arial" w:hAnsi="Arial" w:cs="Arial"/>
        </w:rPr>
      </w:pPr>
      <w:r w:rsidRPr="5374CCBB">
        <w:rPr>
          <w:rFonts w:ascii="Arial" w:hAnsi="Arial" w:cs="Arial"/>
        </w:rPr>
        <w:t xml:space="preserve">Priorytet </w:t>
      </w:r>
      <w:r w:rsidR="00C1225A" w:rsidRPr="5374CCBB">
        <w:rPr>
          <w:rFonts w:ascii="Arial" w:hAnsi="Arial" w:cs="Arial"/>
        </w:rPr>
        <w:t>VIII</w:t>
      </w:r>
      <w:r w:rsidRPr="5374CCBB">
        <w:rPr>
          <w:rFonts w:ascii="Arial" w:hAnsi="Arial" w:cs="Arial"/>
        </w:rPr>
        <w:t xml:space="preserve"> </w:t>
      </w:r>
      <w:r w:rsidR="00BC2258" w:rsidRPr="5374CCBB">
        <w:rPr>
          <w:rFonts w:ascii="Arial" w:hAnsi="Arial" w:cs="Arial"/>
          <w:b/>
          <w:bCs/>
        </w:rPr>
        <w:t>Zwiększ</w:t>
      </w:r>
      <w:r w:rsidR="00BC2258">
        <w:rPr>
          <w:rFonts w:ascii="Arial" w:hAnsi="Arial" w:cs="Arial"/>
          <w:b/>
          <w:bCs/>
        </w:rPr>
        <w:t>a</w:t>
      </w:r>
      <w:r w:rsidR="00BC2258" w:rsidRPr="5374CCBB">
        <w:rPr>
          <w:rFonts w:ascii="Arial" w:hAnsi="Arial" w:cs="Arial"/>
          <w:b/>
          <w:bCs/>
        </w:rPr>
        <w:t xml:space="preserve">nie </w:t>
      </w:r>
      <w:r w:rsidR="00C1225A" w:rsidRPr="5374CCBB">
        <w:rPr>
          <w:rFonts w:ascii="Arial" w:hAnsi="Arial" w:cs="Arial"/>
          <w:b/>
          <w:bCs/>
        </w:rPr>
        <w:t>spójności społecznej</w:t>
      </w:r>
      <w:r w:rsidRPr="5374CCBB">
        <w:rPr>
          <w:rFonts w:ascii="Arial" w:hAnsi="Arial" w:cs="Arial"/>
        </w:rPr>
        <w:t xml:space="preserve">, Działanie </w:t>
      </w:r>
      <w:r w:rsidR="00C1225A" w:rsidRPr="5374CCBB">
        <w:rPr>
          <w:rFonts w:ascii="Arial" w:hAnsi="Arial" w:cs="Arial"/>
        </w:rPr>
        <w:t>8.</w:t>
      </w:r>
      <w:r w:rsidR="503D2BF9" w:rsidRPr="5374CCBB">
        <w:rPr>
          <w:rFonts w:ascii="Arial" w:hAnsi="Arial" w:cs="Arial"/>
        </w:rPr>
        <w:t>2</w:t>
      </w:r>
      <w:r w:rsidR="00C1225A" w:rsidRPr="5374CCBB">
        <w:rPr>
          <w:rFonts w:ascii="Arial" w:eastAsia="Calibri" w:hAnsi="Arial" w:cs="Arial"/>
          <w:b/>
          <w:bCs/>
        </w:rPr>
        <w:t xml:space="preserve"> </w:t>
      </w:r>
      <w:r w:rsidR="00373585" w:rsidRPr="5374CCBB">
        <w:rPr>
          <w:rFonts w:ascii="Arial" w:eastAsia="Calibri" w:hAnsi="Arial" w:cs="Arial"/>
          <w:b/>
          <w:bCs/>
        </w:rPr>
        <w:t>Ekonomia społeczna</w:t>
      </w:r>
      <w:r w:rsidRPr="5374CCBB">
        <w:rPr>
          <w:rFonts w:ascii="Arial" w:hAnsi="Arial" w:cs="Arial"/>
          <w:b/>
          <w:bCs/>
        </w:rPr>
        <w:t xml:space="preserve">, </w:t>
      </w:r>
      <w:r w:rsidR="00373585" w:rsidRPr="5374CCBB">
        <w:rPr>
          <w:rFonts w:ascii="Arial" w:hAnsi="Arial" w:cs="Arial"/>
          <w:b/>
          <w:bCs/>
        </w:rPr>
        <w:t xml:space="preserve">typ projektu nr 1: </w:t>
      </w:r>
      <w:r w:rsidR="00373585" w:rsidRPr="5374CCBB">
        <w:rPr>
          <w:rFonts w:ascii="Arial" w:hAnsi="Arial" w:cs="Arial"/>
        </w:rPr>
        <w:t>Wsparcie tworzenia nowych miejsc pracy i utrzymania tych miejsc w PS;</w:t>
      </w:r>
      <w:r w:rsidR="00373585" w:rsidRPr="5374CCBB">
        <w:rPr>
          <w:rFonts w:ascii="Arial" w:eastAsia="Calibri" w:hAnsi="Arial" w:cs="Arial"/>
          <w:lang w:eastAsia="en-US"/>
        </w:rPr>
        <w:t xml:space="preserve"> </w:t>
      </w:r>
      <w:r w:rsidR="00373585" w:rsidRPr="5374CCBB">
        <w:rPr>
          <w:rFonts w:ascii="Arial" w:hAnsi="Arial" w:cs="Arial"/>
          <w:b/>
          <w:bCs/>
        </w:rPr>
        <w:t xml:space="preserve">typ projektu nr 2: </w:t>
      </w:r>
      <w:r w:rsidR="00373585" w:rsidRPr="5374CCBB">
        <w:rPr>
          <w:rFonts w:ascii="Arial" w:hAnsi="Arial" w:cs="Arial"/>
        </w:rPr>
        <w:t>Usługi wsparcia rozwoju ES dla PES i PS, w tym usługi animacyjne, inkubacyjne i biznesowe OWES;</w:t>
      </w:r>
      <w:r w:rsidR="00373585" w:rsidRPr="5374CCBB">
        <w:rPr>
          <w:rFonts w:ascii="Arial" w:eastAsia="Calibri" w:hAnsi="Arial" w:cs="Arial"/>
          <w:lang w:eastAsia="en-US"/>
        </w:rPr>
        <w:t xml:space="preserve"> </w:t>
      </w:r>
      <w:r w:rsidR="00373585" w:rsidRPr="5374CCBB">
        <w:rPr>
          <w:rFonts w:ascii="Arial" w:hAnsi="Arial" w:cs="Arial"/>
          <w:b/>
          <w:bCs/>
        </w:rPr>
        <w:t xml:space="preserve">typ projektu nr 3: </w:t>
      </w:r>
      <w:r w:rsidR="00373585" w:rsidRPr="5374CCBB">
        <w:rPr>
          <w:rFonts w:ascii="Arial" w:hAnsi="Arial" w:cs="Arial"/>
        </w:rPr>
        <w:t>Wsparcie realizacji indywidualnego procesu reintegracji w PS;</w:t>
      </w:r>
      <w:r w:rsidR="00373585" w:rsidRPr="5374CCBB">
        <w:rPr>
          <w:rFonts w:ascii="Arial" w:eastAsia="Calibri" w:hAnsi="Arial" w:cs="Arial"/>
          <w:lang w:eastAsia="en-US"/>
        </w:rPr>
        <w:t xml:space="preserve"> </w:t>
      </w:r>
      <w:r w:rsidR="00373585" w:rsidRPr="5374CCBB">
        <w:rPr>
          <w:rFonts w:ascii="Arial" w:hAnsi="Arial" w:cs="Arial"/>
          <w:b/>
          <w:bCs/>
        </w:rPr>
        <w:t xml:space="preserve">typ projektu nr 5: </w:t>
      </w:r>
      <w:r w:rsidR="00373585" w:rsidRPr="5374CCBB">
        <w:rPr>
          <w:rFonts w:ascii="Arial" w:hAnsi="Arial" w:cs="Arial"/>
        </w:rPr>
        <w:t>Działania w zakresie podnoszenia kwalifikacji i doświadczenia zawodowego pracowników PES.</w:t>
      </w:r>
    </w:p>
    <w:p w14:paraId="4082B4FF" w14:textId="77777777" w:rsidR="00DF07FC" w:rsidRPr="00373585" w:rsidRDefault="00DF07FC" w:rsidP="00373585">
      <w:pPr>
        <w:pStyle w:val="Akapitzlist1"/>
        <w:tabs>
          <w:tab w:val="left" w:pos="363"/>
          <w:tab w:val="left" w:pos="426"/>
        </w:tabs>
        <w:spacing w:before="120" w:after="60" w:line="276" w:lineRule="auto"/>
        <w:ind w:left="357"/>
        <w:contextualSpacing w:val="0"/>
        <w:rPr>
          <w:rFonts w:ascii="Arial" w:eastAsia="Calibri" w:hAnsi="Arial" w:cs="Arial"/>
          <w:bCs/>
          <w:lang w:eastAsia="en-US"/>
        </w:rPr>
      </w:pPr>
    </w:p>
    <w:tbl>
      <w:tblPr>
        <w:tblpPr w:leftFromText="141" w:rightFromText="141"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700"/>
        <w:gridCol w:w="991"/>
        <w:gridCol w:w="1276"/>
        <w:gridCol w:w="4387"/>
      </w:tblGrid>
      <w:tr w:rsidR="008128E6" w:rsidRPr="00236549" w14:paraId="6E3A1AAE" w14:textId="77777777" w:rsidTr="269357C5">
        <w:trPr>
          <w:tblHeader/>
        </w:trPr>
        <w:tc>
          <w:tcPr>
            <w:tcW w:w="390" w:type="pct"/>
            <w:shd w:val="clear" w:color="auto" w:fill="auto"/>
            <w:vAlign w:val="center"/>
          </w:tcPr>
          <w:p w14:paraId="39ECDD3A" w14:textId="77777777" w:rsidR="00FB270C" w:rsidRPr="00236549" w:rsidRDefault="00FB270C" w:rsidP="00E11C4A">
            <w:pPr>
              <w:spacing w:before="120" w:after="120"/>
              <w:jc w:val="center"/>
              <w:rPr>
                <w:rFonts w:ascii="Arial" w:hAnsi="Arial" w:cs="Arial"/>
                <w:b/>
                <w:iCs/>
                <w:sz w:val="24"/>
                <w:szCs w:val="24"/>
              </w:rPr>
            </w:pPr>
            <w:r w:rsidRPr="00236549">
              <w:rPr>
                <w:rFonts w:ascii="Arial" w:hAnsi="Arial" w:cs="Arial"/>
                <w:b/>
                <w:iCs/>
                <w:sz w:val="24"/>
                <w:szCs w:val="24"/>
              </w:rPr>
              <w:t>Lp.</w:t>
            </w:r>
          </w:p>
        </w:tc>
        <w:tc>
          <w:tcPr>
            <w:tcW w:w="938" w:type="pct"/>
            <w:shd w:val="clear" w:color="auto" w:fill="auto"/>
            <w:vAlign w:val="center"/>
          </w:tcPr>
          <w:p w14:paraId="4EEFDC00" w14:textId="77777777" w:rsidR="00FB270C" w:rsidRPr="00236549" w:rsidRDefault="00FB270C" w:rsidP="1D8B38FE">
            <w:pPr>
              <w:spacing w:before="120" w:after="120"/>
              <w:jc w:val="center"/>
              <w:rPr>
                <w:rFonts w:ascii="Arial" w:hAnsi="Arial" w:cs="Arial"/>
                <w:b/>
                <w:bCs/>
                <w:sz w:val="24"/>
                <w:szCs w:val="24"/>
              </w:rPr>
            </w:pPr>
            <w:r w:rsidRPr="269357C5">
              <w:rPr>
                <w:rFonts w:ascii="Arial" w:hAnsi="Arial" w:cs="Arial"/>
                <w:b/>
                <w:bCs/>
                <w:sz w:val="24"/>
                <w:szCs w:val="24"/>
              </w:rPr>
              <w:t>Nazwa wskaźnika</w:t>
            </w:r>
          </w:p>
        </w:tc>
        <w:tc>
          <w:tcPr>
            <w:tcW w:w="547" w:type="pct"/>
            <w:shd w:val="clear" w:color="auto" w:fill="auto"/>
            <w:vAlign w:val="center"/>
          </w:tcPr>
          <w:p w14:paraId="0D20A003" w14:textId="3CD3AB24" w:rsidR="00FB270C" w:rsidRPr="00236549" w:rsidRDefault="00FB270C" w:rsidP="00E11C4A">
            <w:pPr>
              <w:spacing w:before="120" w:after="120"/>
              <w:jc w:val="center"/>
              <w:rPr>
                <w:rFonts w:ascii="Arial" w:hAnsi="Arial" w:cs="Arial"/>
                <w:b/>
                <w:iCs/>
                <w:sz w:val="24"/>
                <w:szCs w:val="24"/>
              </w:rPr>
            </w:pPr>
            <w:r w:rsidRPr="00236549">
              <w:rPr>
                <w:rFonts w:ascii="Arial" w:hAnsi="Arial" w:cs="Arial"/>
                <w:b/>
                <w:iCs/>
                <w:sz w:val="24"/>
                <w:szCs w:val="24"/>
              </w:rPr>
              <w:t>Jednostka</w:t>
            </w:r>
            <w:r w:rsidR="006133EC" w:rsidRPr="00236549">
              <w:rPr>
                <w:rFonts w:ascii="Arial" w:hAnsi="Arial" w:cs="Arial"/>
                <w:b/>
                <w:iCs/>
                <w:sz w:val="24"/>
                <w:szCs w:val="24"/>
              </w:rPr>
              <w:t xml:space="preserve"> </w:t>
            </w:r>
            <w:r w:rsidRPr="00236549">
              <w:rPr>
                <w:rFonts w:ascii="Arial" w:hAnsi="Arial" w:cs="Arial"/>
                <w:b/>
                <w:iCs/>
                <w:sz w:val="24"/>
                <w:szCs w:val="24"/>
              </w:rPr>
              <w:t>miary</w:t>
            </w:r>
          </w:p>
        </w:tc>
        <w:tc>
          <w:tcPr>
            <w:tcW w:w="704" w:type="pct"/>
            <w:shd w:val="clear" w:color="auto" w:fill="auto"/>
            <w:vAlign w:val="center"/>
          </w:tcPr>
          <w:p w14:paraId="25DDEAC6" w14:textId="1FA928AF" w:rsidR="00FB270C" w:rsidRPr="00236549" w:rsidRDefault="00FB270C" w:rsidP="00E11C4A">
            <w:pPr>
              <w:spacing w:before="120" w:after="120"/>
              <w:jc w:val="center"/>
              <w:rPr>
                <w:rFonts w:ascii="Arial" w:hAnsi="Arial" w:cs="Arial"/>
                <w:b/>
                <w:iCs/>
                <w:sz w:val="24"/>
                <w:szCs w:val="24"/>
              </w:rPr>
            </w:pPr>
            <w:r w:rsidRPr="00236549">
              <w:rPr>
                <w:rFonts w:ascii="Arial" w:hAnsi="Arial" w:cs="Arial"/>
                <w:b/>
                <w:iCs/>
                <w:sz w:val="24"/>
                <w:szCs w:val="24"/>
              </w:rPr>
              <w:t>Rodzaj</w:t>
            </w:r>
            <w:r w:rsidR="006133EC" w:rsidRPr="00236549">
              <w:rPr>
                <w:rFonts w:ascii="Arial" w:hAnsi="Arial" w:cs="Arial"/>
                <w:b/>
                <w:iCs/>
                <w:sz w:val="24"/>
                <w:szCs w:val="24"/>
              </w:rPr>
              <w:t xml:space="preserve"> </w:t>
            </w:r>
            <w:r w:rsidRPr="00236549">
              <w:rPr>
                <w:rFonts w:ascii="Arial" w:hAnsi="Arial" w:cs="Arial"/>
                <w:b/>
                <w:iCs/>
                <w:sz w:val="24"/>
                <w:szCs w:val="24"/>
              </w:rPr>
              <w:t>wskaźnika</w:t>
            </w:r>
          </w:p>
        </w:tc>
        <w:tc>
          <w:tcPr>
            <w:tcW w:w="2421" w:type="pct"/>
            <w:shd w:val="clear" w:color="auto" w:fill="auto"/>
            <w:vAlign w:val="center"/>
          </w:tcPr>
          <w:p w14:paraId="4D84799B" w14:textId="77777777" w:rsidR="00FB270C" w:rsidRPr="00236549" w:rsidRDefault="00FB270C" w:rsidP="1D8B38FE">
            <w:pPr>
              <w:spacing w:before="120" w:after="120"/>
              <w:jc w:val="center"/>
              <w:rPr>
                <w:rFonts w:ascii="Arial" w:hAnsi="Arial" w:cs="Arial"/>
                <w:b/>
                <w:bCs/>
                <w:sz w:val="24"/>
                <w:szCs w:val="24"/>
              </w:rPr>
            </w:pPr>
            <w:r w:rsidRPr="269357C5">
              <w:rPr>
                <w:rFonts w:ascii="Arial" w:hAnsi="Arial" w:cs="Arial"/>
                <w:b/>
                <w:bCs/>
                <w:sz w:val="24"/>
                <w:szCs w:val="24"/>
              </w:rPr>
              <w:t>Definicja</w:t>
            </w:r>
          </w:p>
        </w:tc>
      </w:tr>
      <w:tr w:rsidR="00E20AD5" w:rsidRPr="00236549" w14:paraId="6658F483" w14:textId="77777777" w:rsidTr="269357C5">
        <w:tc>
          <w:tcPr>
            <w:tcW w:w="390" w:type="pct"/>
            <w:shd w:val="clear" w:color="auto" w:fill="auto"/>
            <w:vAlign w:val="center"/>
          </w:tcPr>
          <w:p w14:paraId="23267395" w14:textId="77777777" w:rsidR="00E20AD5" w:rsidRPr="00236549" w:rsidRDefault="00E20AD5" w:rsidP="00E20AD5">
            <w:pPr>
              <w:pStyle w:val="Akapitzlist"/>
              <w:numPr>
                <w:ilvl w:val="0"/>
                <w:numId w:val="40"/>
              </w:numPr>
              <w:tabs>
                <w:tab w:val="left" w:pos="344"/>
              </w:tabs>
              <w:rPr>
                <w:rFonts w:ascii="Arial" w:hAnsi="Arial" w:cs="Arial"/>
                <w:iCs/>
                <w:sz w:val="24"/>
                <w:szCs w:val="24"/>
              </w:rPr>
            </w:pPr>
          </w:p>
        </w:tc>
        <w:tc>
          <w:tcPr>
            <w:tcW w:w="938" w:type="pct"/>
            <w:shd w:val="clear" w:color="auto" w:fill="auto"/>
            <w:vAlign w:val="center"/>
          </w:tcPr>
          <w:p w14:paraId="152CF233" w14:textId="53C28FB3" w:rsidR="00E20AD5" w:rsidRPr="00956EDE" w:rsidRDefault="00A222FC" w:rsidP="00E20AD5">
            <w:pPr>
              <w:spacing w:before="60" w:after="60"/>
              <w:rPr>
                <w:rFonts w:ascii="Arial" w:eastAsia="Calibri" w:hAnsi="Arial" w:cs="Arial"/>
                <w:sz w:val="24"/>
                <w:szCs w:val="24"/>
              </w:rPr>
            </w:pPr>
            <w:r w:rsidRPr="00956EDE">
              <w:rPr>
                <w:rFonts w:ascii="Arial" w:hAnsi="Arial" w:cs="Arial"/>
                <w:sz w:val="24"/>
                <w:szCs w:val="24"/>
              </w:rPr>
              <w:t>Liczba osób bezrobotnych, w tym długotrwale bezrobotnych, objętych wsparciem w programie</w:t>
            </w:r>
          </w:p>
        </w:tc>
        <w:tc>
          <w:tcPr>
            <w:tcW w:w="547" w:type="pct"/>
            <w:shd w:val="clear" w:color="auto" w:fill="auto"/>
            <w:vAlign w:val="center"/>
          </w:tcPr>
          <w:p w14:paraId="7854448C" w14:textId="32C40ECC" w:rsidR="00E20AD5" w:rsidRPr="00956EDE" w:rsidRDefault="00896049" w:rsidP="00E20AD5">
            <w:pPr>
              <w:spacing w:before="60" w:after="60"/>
              <w:jc w:val="center"/>
              <w:rPr>
                <w:rFonts w:ascii="Arial" w:hAnsi="Arial" w:cs="Arial"/>
                <w:iCs/>
                <w:sz w:val="24"/>
                <w:szCs w:val="24"/>
              </w:rPr>
            </w:pPr>
            <w:r w:rsidRPr="00956EDE">
              <w:rPr>
                <w:rFonts w:ascii="Arial" w:hAnsi="Arial" w:cs="Arial"/>
                <w:iCs/>
                <w:sz w:val="24"/>
                <w:szCs w:val="24"/>
              </w:rPr>
              <w:t>osob</w:t>
            </w:r>
            <w:r>
              <w:rPr>
                <w:rFonts w:ascii="Arial" w:hAnsi="Arial" w:cs="Arial"/>
                <w:iCs/>
                <w:sz w:val="24"/>
                <w:szCs w:val="24"/>
              </w:rPr>
              <w:t>y</w:t>
            </w:r>
          </w:p>
        </w:tc>
        <w:tc>
          <w:tcPr>
            <w:tcW w:w="704" w:type="pct"/>
            <w:shd w:val="clear" w:color="auto" w:fill="auto"/>
            <w:vAlign w:val="center"/>
          </w:tcPr>
          <w:p w14:paraId="53D6ADA3" w14:textId="3780090C" w:rsidR="00E20AD5" w:rsidRPr="00956EDE" w:rsidRDefault="00A222FC" w:rsidP="00E20AD5">
            <w:pPr>
              <w:spacing w:before="60" w:after="60"/>
              <w:jc w:val="center"/>
              <w:rPr>
                <w:rFonts w:ascii="Arial" w:eastAsia="Calibri" w:hAnsi="Arial" w:cs="Arial"/>
                <w:sz w:val="24"/>
                <w:szCs w:val="24"/>
              </w:rPr>
            </w:pPr>
            <w:r w:rsidRPr="00956EDE">
              <w:rPr>
                <w:rFonts w:ascii="Arial" w:hAnsi="Arial" w:cs="Arial"/>
                <w:iCs/>
                <w:sz w:val="24"/>
                <w:szCs w:val="24"/>
              </w:rPr>
              <w:t>wskaźnik produktu</w:t>
            </w:r>
          </w:p>
        </w:tc>
        <w:tc>
          <w:tcPr>
            <w:tcW w:w="2421" w:type="pct"/>
            <w:shd w:val="clear" w:color="auto" w:fill="auto"/>
          </w:tcPr>
          <w:p w14:paraId="52458153" w14:textId="77777777" w:rsidR="00A222FC" w:rsidRPr="00956EDE" w:rsidRDefault="00A222FC" w:rsidP="00A222FC">
            <w:pPr>
              <w:spacing w:after="160" w:line="259" w:lineRule="auto"/>
              <w:jc w:val="both"/>
              <w:rPr>
                <w:rFonts w:ascii="Arial" w:eastAsia="Times New Roman" w:hAnsi="Arial" w:cs="Arial"/>
                <w:iCs/>
                <w:sz w:val="24"/>
                <w:szCs w:val="24"/>
                <w:lang w:eastAsia="pl-PL"/>
              </w:rPr>
            </w:pPr>
            <w:r w:rsidRPr="00956EDE">
              <w:rPr>
                <w:rFonts w:ascii="Arial" w:eastAsia="Times New Roman" w:hAnsi="Arial" w:cs="Arial"/>
                <w:iCs/>
                <w:sz w:val="24"/>
                <w:szCs w:val="24"/>
                <w:lang w:eastAsia="pl-PL"/>
              </w:rPr>
              <w:t xml:space="preserve">Osoby pozostające bez pracy, gotowe do podjęcia pracy i aktywnie poszukujące zatrudnienia. </w:t>
            </w:r>
            <w:r w:rsidRPr="00956EDE">
              <w:rPr>
                <w:rFonts w:ascii="Arial" w:eastAsia="Times New Roman" w:hAnsi="Arial" w:cs="Arial"/>
                <w:sz w:val="24"/>
                <w:szCs w:val="24"/>
                <w:lang w:eastAsia="pl-PL"/>
              </w:rPr>
              <w:t xml:space="preserve">Definicja ta uwzględnia wszystkie osoby zarejestrowane jako bezrobotne </w:t>
            </w:r>
            <w:r w:rsidRPr="00956EDE">
              <w:rPr>
                <w:rFonts w:ascii="Arial" w:eastAsia="Times New Roman" w:hAnsi="Arial" w:cs="Arial"/>
                <w:iCs/>
                <w:sz w:val="24"/>
                <w:szCs w:val="24"/>
                <w:lang w:eastAsia="pl-PL"/>
              </w:rPr>
              <w:t>zgodnie z krajową definicją, nawet jeżeli nie spełniają one wszystkich trzech kryteriów wskazanych wyżej.</w:t>
            </w:r>
          </w:p>
          <w:p w14:paraId="5BB453B2" w14:textId="2937B121" w:rsidR="00A222FC" w:rsidRPr="00956EDE" w:rsidRDefault="00A222FC" w:rsidP="00A222FC">
            <w:pPr>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Osoby kwalifikujące się do urlopu macierzyńskiego lub rodzicielskiego, które są bezrobotne w rozumieniu niniejszej definicji (nie pobierają świadczeń z tytułu urlopu), należy wykazywać również jako osoby bezrobotne.</w:t>
            </w:r>
          </w:p>
          <w:p w14:paraId="3C4A37C1" w14:textId="5893172D" w:rsidR="00A222FC" w:rsidRPr="00956EDE" w:rsidRDefault="00A222FC" w:rsidP="00A222FC">
            <w:pPr>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Osoby aktywnie poszukujące zatrudnienia to osoby zarejestrowane jako bezrobotne lub poszukujące pracy w publicznych służbach zatrudnienia (PSZ)lub niezarejestrowane, lecz spełniające powyższe przesłanki. Osoby zarejestrowane jako poszukujące pracy w PSZ należy </w:t>
            </w:r>
            <w:r w:rsidRPr="00956EDE">
              <w:rPr>
                <w:rFonts w:ascii="Arial" w:eastAsia="Times New Roman" w:hAnsi="Arial" w:cs="Arial"/>
                <w:sz w:val="24"/>
                <w:szCs w:val="24"/>
                <w:lang w:eastAsia="pl-PL"/>
              </w:rPr>
              <w:lastRenderedPageBreak/>
              <w:t>wliczać do wskaźnika nawet jeśli nie mogą od razu podjąć zatrudnienia.</w:t>
            </w:r>
          </w:p>
          <w:p w14:paraId="53ECBFCC" w14:textId="1DED1189" w:rsidR="00A222FC" w:rsidRPr="00956EDE" w:rsidRDefault="00A222FC" w:rsidP="00A222FC">
            <w:pPr>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Status na rynku pracy określany jest w dniu rozpoczęcia uczestnictwa w projekcie, tj. w momencie rozpoczęcia udziału w pierwszej formie wsparcia w projekcie. </w:t>
            </w:r>
          </w:p>
          <w:p w14:paraId="3C86E162" w14:textId="77777777" w:rsidR="00A222FC" w:rsidRPr="00956EDE" w:rsidRDefault="00A222FC" w:rsidP="00A222FC">
            <w:pPr>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Informacje dodatkowe:</w:t>
            </w:r>
          </w:p>
          <w:p w14:paraId="006D31C6" w14:textId="2AC675BC" w:rsidR="00A222FC" w:rsidRPr="00956EDE" w:rsidRDefault="00A222FC" w:rsidP="00A222FC">
            <w:pPr>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6DD02CF0" w14:textId="6354D000" w:rsidR="00E20AD5" w:rsidRPr="00956EDE" w:rsidRDefault="00A222FC" w:rsidP="00A222FC">
            <w:pPr>
              <w:spacing w:after="120" w:line="259" w:lineRule="auto"/>
              <w:rPr>
                <w:rFonts w:ascii="Arial" w:eastAsia="Times New Roman" w:hAnsi="Arial" w:cs="Arial"/>
                <w:sz w:val="24"/>
                <w:szCs w:val="24"/>
                <w:lang w:eastAsia="pl-PL"/>
              </w:rPr>
            </w:pPr>
            <w:r w:rsidRPr="00956EDE">
              <w:rPr>
                <w:rFonts w:ascii="Arial" w:eastAsia="Times New Roman" w:hAnsi="Arial" w:cs="Arial"/>
                <w:sz w:val="24"/>
                <w:szCs w:val="24"/>
                <w:lang w:eastAsia="pl-PL"/>
              </w:rPr>
              <w:t>Definicja opracowana na podstawie: (§18) Statystyki polityki rynku pracy – metodologia 2018, Komisja Europejska, Dyrekcja Generalna ds. Zatrudnienia, Spraw Społecznych i Włączenia Społecznego.</w:t>
            </w:r>
          </w:p>
        </w:tc>
      </w:tr>
      <w:tr w:rsidR="00A222FC" w:rsidRPr="00236549" w14:paraId="20A34A4E" w14:textId="77777777" w:rsidTr="269357C5">
        <w:tc>
          <w:tcPr>
            <w:tcW w:w="390" w:type="pct"/>
            <w:shd w:val="clear" w:color="auto" w:fill="auto"/>
            <w:vAlign w:val="center"/>
          </w:tcPr>
          <w:p w14:paraId="71F3D494" w14:textId="77777777" w:rsidR="00A222FC" w:rsidRPr="00236549" w:rsidRDefault="00A222FC" w:rsidP="00E20AD5">
            <w:pPr>
              <w:pStyle w:val="Akapitzlist"/>
              <w:numPr>
                <w:ilvl w:val="0"/>
                <w:numId w:val="40"/>
              </w:numPr>
              <w:tabs>
                <w:tab w:val="left" w:pos="344"/>
              </w:tabs>
              <w:rPr>
                <w:rFonts w:ascii="Arial" w:hAnsi="Arial" w:cs="Arial"/>
                <w:iCs/>
                <w:sz w:val="24"/>
                <w:szCs w:val="24"/>
              </w:rPr>
            </w:pPr>
          </w:p>
        </w:tc>
        <w:tc>
          <w:tcPr>
            <w:tcW w:w="938" w:type="pct"/>
            <w:shd w:val="clear" w:color="auto" w:fill="auto"/>
            <w:vAlign w:val="center"/>
          </w:tcPr>
          <w:p w14:paraId="322F296D" w14:textId="27E44451" w:rsidR="00A222FC" w:rsidRPr="00956EDE" w:rsidRDefault="00A222FC" w:rsidP="00E20AD5">
            <w:pPr>
              <w:spacing w:before="60" w:after="60"/>
              <w:rPr>
                <w:rFonts w:ascii="Arial" w:hAnsi="Arial" w:cs="Arial"/>
                <w:sz w:val="24"/>
                <w:szCs w:val="24"/>
              </w:rPr>
            </w:pPr>
            <w:r w:rsidRPr="00956EDE">
              <w:rPr>
                <w:rFonts w:ascii="Arial" w:hAnsi="Arial" w:cs="Arial"/>
                <w:sz w:val="24"/>
                <w:szCs w:val="24"/>
              </w:rPr>
              <w:t>Liczba osób biernych zawodowo objętych wsparciem w programie</w:t>
            </w:r>
          </w:p>
        </w:tc>
        <w:tc>
          <w:tcPr>
            <w:tcW w:w="547" w:type="pct"/>
            <w:shd w:val="clear" w:color="auto" w:fill="auto"/>
            <w:vAlign w:val="center"/>
          </w:tcPr>
          <w:p w14:paraId="56551795" w14:textId="26787E0E" w:rsidR="00A222FC" w:rsidRPr="00956EDE" w:rsidRDefault="00896049" w:rsidP="00E20AD5">
            <w:pPr>
              <w:spacing w:before="60" w:after="60"/>
              <w:jc w:val="center"/>
              <w:rPr>
                <w:rFonts w:ascii="Arial" w:hAnsi="Arial" w:cs="Arial"/>
                <w:iCs/>
                <w:sz w:val="24"/>
                <w:szCs w:val="24"/>
              </w:rPr>
            </w:pPr>
            <w:r w:rsidRPr="00956EDE">
              <w:rPr>
                <w:rFonts w:ascii="Arial" w:hAnsi="Arial" w:cs="Arial"/>
                <w:iCs/>
                <w:sz w:val="24"/>
                <w:szCs w:val="24"/>
              </w:rPr>
              <w:t>osob</w:t>
            </w:r>
            <w:r>
              <w:rPr>
                <w:rFonts w:ascii="Arial" w:hAnsi="Arial" w:cs="Arial"/>
                <w:iCs/>
                <w:sz w:val="24"/>
                <w:szCs w:val="24"/>
              </w:rPr>
              <w:t>y</w:t>
            </w:r>
          </w:p>
        </w:tc>
        <w:tc>
          <w:tcPr>
            <w:tcW w:w="704" w:type="pct"/>
            <w:shd w:val="clear" w:color="auto" w:fill="auto"/>
            <w:vAlign w:val="center"/>
          </w:tcPr>
          <w:p w14:paraId="197698EE" w14:textId="2FC90DC0" w:rsidR="00A222FC" w:rsidRPr="00956EDE" w:rsidRDefault="00A222FC" w:rsidP="00E20AD5">
            <w:pPr>
              <w:spacing w:before="60" w:after="60"/>
              <w:jc w:val="center"/>
              <w:rPr>
                <w:rFonts w:ascii="Arial" w:hAnsi="Arial" w:cs="Arial"/>
                <w:iCs/>
                <w:sz w:val="24"/>
                <w:szCs w:val="24"/>
              </w:rPr>
            </w:pPr>
            <w:r w:rsidRPr="00956EDE">
              <w:rPr>
                <w:rFonts w:ascii="Arial" w:hAnsi="Arial" w:cs="Arial"/>
                <w:iCs/>
                <w:sz w:val="24"/>
                <w:szCs w:val="24"/>
              </w:rPr>
              <w:t>wskaźnik produktu</w:t>
            </w:r>
          </w:p>
        </w:tc>
        <w:tc>
          <w:tcPr>
            <w:tcW w:w="2421" w:type="pct"/>
            <w:shd w:val="clear" w:color="auto" w:fill="auto"/>
          </w:tcPr>
          <w:p w14:paraId="21537889" w14:textId="1A9F7348" w:rsidR="00A222FC" w:rsidRPr="00956EDE" w:rsidRDefault="00A222FC" w:rsidP="00A222FC">
            <w:pPr>
              <w:rPr>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Osoby bierne zawodowo to </w:t>
            </w:r>
            <w:r w:rsidRPr="00956EDE">
              <w:rPr>
                <w:rFonts w:ascii="Arial" w:eastAsia="Times New Roman" w:hAnsi="Arial" w:cs="Arial"/>
                <w:iCs/>
                <w:sz w:val="24"/>
                <w:szCs w:val="24"/>
                <w:lang w:eastAsia="pl-PL"/>
              </w:rPr>
              <w:t>osoby, które w danej chwili nie tworzą zasobów siły roboczej (tzn. nie są osobami pracującymi ani bezrobotnymi).</w:t>
            </w:r>
          </w:p>
          <w:p w14:paraId="58E6C045" w14:textId="77777777" w:rsidR="00A222FC" w:rsidRPr="00956EDE" w:rsidRDefault="00A222FC" w:rsidP="00A222FC">
            <w:pPr>
              <w:spacing w:after="160" w:line="259" w:lineRule="auto"/>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Osoby pracujące definiowane są jak we wskaźniku: </w:t>
            </w:r>
            <w:r w:rsidRPr="00956EDE">
              <w:rPr>
                <w:rFonts w:ascii="Arial" w:eastAsia="Times New Roman" w:hAnsi="Arial" w:cs="Arial"/>
                <w:i/>
                <w:sz w:val="24"/>
                <w:szCs w:val="24"/>
                <w:lang w:eastAsia="pl-PL"/>
              </w:rPr>
              <w:t>liczba osób pracujących, łącznie z prowadzącymi działalność na własny rachunek, objętych wsparciem w programie (osoby)</w:t>
            </w:r>
            <w:r w:rsidRPr="00956EDE">
              <w:rPr>
                <w:rFonts w:ascii="Arial" w:eastAsia="Times New Roman" w:hAnsi="Arial" w:cs="Arial"/>
                <w:sz w:val="24"/>
                <w:szCs w:val="24"/>
                <w:lang w:eastAsia="pl-PL"/>
              </w:rPr>
              <w:t>.</w:t>
            </w:r>
          </w:p>
          <w:p w14:paraId="276B0091" w14:textId="72165DA8" w:rsidR="00A222FC" w:rsidRPr="00956EDE" w:rsidRDefault="00A222FC" w:rsidP="00A222FC">
            <w:pPr>
              <w:ind w:left="10"/>
              <w:rPr>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Osoby bezrobotne definiowane jak we wskaźniku: </w:t>
            </w:r>
            <w:r w:rsidRPr="00956EDE">
              <w:rPr>
                <w:rFonts w:ascii="Arial" w:eastAsia="Times New Roman" w:hAnsi="Arial" w:cs="Arial"/>
                <w:i/>
                <w:sz w:val="24"/>
                <w:szCs w:val="24"/>
                <w:lang w:eastAsia="pl-PL"/>
              </w:rPr>
              <w:t>liczba osób bezrobotnych, w tym długotrwale bezrobotnych, objętych wsparciem w programie (osoby).</w:t>
            </w:r>
          </w:p>
          <w:p w14:paraId="4F018AEC" w14:textId="77777777" w:rsidR="00A222FC" w:rsidRPr="00956EDE" w:rsidRDefault="00A222FC" w:rsidP="00A222FC">
            <w:pPr>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lastRenderedPageBreak/>
              <w:t>Za osoby bierne zawodowo uznawani są m.in.:</w:t>
            </w:r>
          </w:p>
          <w:p w14:paraId="093B6E2F" w14:textId="77777777" w:rsidR="00A222FC" w:rsidRPr="00956EDE" w:rsidRDefault="00A222FC" w:rsidP="00A222FC">
            <w:pPr>
              <w:pStyle w:val="Akapitzlist"/>
              <w:numPr>
                <w:ilvl w:val="0"/>
                <w:numId w:val="38"/>
              </w:numPr>
              <w:spacing w:after="0" w:line="240" w:lineRule="auto"/>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studenci studiów stacjonarnych, chyba że są już zatrudnieni (również na część etatu) to wówczas powinni być wykazywani jako osoby pracujące</w:t>
            </w:r>
          </w:p>
          <w:p w14:paraId="47FEAA82" w14:textId="77777777" w:rsidR="00A222FC" w:rsidRPr="00956EDE" w:rsidRDefault="00A222FC" w:rsidP="00A222FC">
            <w:pPr>
              <w:pStyle w:val="Akapitzlist"/>
              <w:numPr>
                <w:ilvl w:val="0"/>
                <w:numId w:val="38"/>
              </w:numPr>
              <w:spacing w:after="0" w:line="240" w:lineRule="auto"/>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dzieci i młodzież do 18 r. ż. pobierające naukę, o ile nie spełniają przesłanek, na podstawie których można je zaliczyć do osób bezrobotnych lub pracujących.</w:t>
            </w:r>
          </w:p>
          <w:p w14:paraId="2573FB3C" w14:textId="3D02EF9A" w:rsidR="00A222FC" w:rsidRPr="003C11A6" w:rsidRDefault="00A222FC" w:rsidP="00A222FC">
            <w:pPr>
              <w:pStyle w:val="Akapitzlist"/>
              <w:numPr>
                <w:ilvl w:val="0"/>
                <w:numId w:val="38"/>
              </w:numPr>
              <w:spacing w:after="0" w:line="240" w:lineRule="auto"/>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75D5A837" w14:textId="34AEB2C6" w:rsidR="00A222FC" w:rsidRPr="003C11A6" w:rsidRDefault="00A222FC" w:rsidP="003C11A6">
            <w:pPr>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Status na rynku pracy jest określany w dniu rozpoczęcia uczestnictwa w projekcie, tj. w momencie rozpoczęcia udziału w pierwszej formie wsparcia w projekcie.</w:t>
            </w:r>
            <w:r w:rsidRPr="00956EDE">
              <w:rPr>
                <w:rFonts w:ascii="Arial" w:eastAsia="Times New Roman" w:hAnsi="Arial" w:cs="Arial"/>
                <w:sz w:val="24"/>
                <w:szCs w:val="24"/>
                <w:lang w:eastAsia="pl-PL"/>
              </w:rPr>
              <w:br/>
              <w:t>Definicja opracowana na podstawie: (§20) Statystyki polityki rynku prac – metodologia 2018, Komisja Europejska, Dyrekcja Generalna ds. Zatrudnienia, Spraw Społecznych i Włączenia Społecznego</w:t>
            </w:r>
          </w:p>
        </w:tc>
      </w:tr>
      <w:tr w:rsidR="00A222FC" w:rsidRPr="00236549" w14:paraId="432DD1E3" w14:textId="77777777" w:rsidTr="269357C5">
        <w:tc>
          <w:tcPr>
            <w:tcW w:w="390" w:type="pct"/>
            <w:shd w:val="clear" w:color="auto" w:fill="auto"/>
            <w:vAlign w:val="center"/>
          </w:tcPr>
          <w:p w14:paraId="3E03E742" w14:textId="77777777" w:rsidR="00A222FC" w:rsidRPr="00236549" w:rsidRDefault="00A222FC" w:rsidP="00E20AD5">
            <w:pPr>
              <w:pStyle w:val="Akapitzlist"/>
              <w:numPr>
                <w:ilvl w:val="0"/>
                <w:numId w:val="40"/>
              </w:numPr>
              <w:tabs>
                <w:tab w:val="left" w:pos="344"/>
              </w:tabs>
              <w:rPr>
                <w:rFonts w:ascii="Arial" w:hAnsi="Arial" w:cs="Arial"/>
                <w:iCs/>
                <w:sz w:val="24"/>
                <w:szCs w:val="24"/>
              </w:rPr>
            </w:pPr>
          </w:p>
        </w:tc>
        <w:tc>
          <w:tcPr>
            <w:tcW w:w="938" w:type="pct"/>
            <w:shd w:val="clear" w:color="auto" w:fill="auto"/>
            <w:vAlign w:val="center"/>
          </w:tcPr>
          <w:p w14:paraId="36CB987B" w14:textId="45A843FC" w:rsidR="00A222FC" w:rsidRPr="00956EDE" w:rsidRDefault="00A222FC" w:rsidP="00E20AD5">
            <w:pPr>
              <w:spacing w:before="60" w:after="60"/>
              <w:rPr>
                <w:rFonts w:ascii="Arial" w:hAnsi="Arial" w:cs="Arial"/>
                <w:sz w:val="24"/>
                <w:szCs w:val="24"/>
              </w:rPr>
            </w:pPr>
            <w:r w:rsidRPr="00956EDE">
              <w:rPr>
                <w:rFonts w:ascii="Arial" w:hAnsi="Arial" w:cs="Arial"/>
                <w:sz w:val="24"/>
                <w:szCs w:val="24"/>
              </w:rPr>
              <w:t xml:space="preserve">Liczba osób długotrwale bezrobotnych </w:t>
            </w:r>
            <w:r w:rsidRPr="00956EDE">
              <w:rPr>
                <w:rFonts w:ascii="Arial" w:hAnsi="Arial" w:cs="Arial"/>
                <w:sz w:val="24"/>
                <w:szCs w:val="24"/>
              </w:rPr>
              <w:lastRenderedPageBreak/>
              <w:t>objętych wsparciem w programie</w:t>
            </w:r>
          </w:p>
        </w:tc>
        <w:tc>
          <w:tcPr>
            <w:tcW w:w="547" w:type="pct"/>
            <w:shd w:val="clear" w:color="auto" w:fill="auto"/>
            <w:vAlign w:val="center"/>
          </w:tcPr>
          <w:p w14:paraId="3BA587CB" w14:textId="77889FAC" w:rsidR="00A222FC" w:rsidRPr="00956EDE" w:rsidRDefault="00896049" w:rsidP="00E20AD5">
            <w:pPr>
              <w:spacing w:before="60" w:after="60"/>
              <w:jc w:val="center"/>
              <w:rPr>
                <w:rFonts w:ascii="Arial" w:hAnsi="Arial" w:cs="Arial"/>
                <w:iCs/>
                <w:sz w:val="24"/>
                <w:szCs w:val="24"/>
              </w:rPr>
            </w:pPr>
            <w:r w:rsidRPr="00956EDE">
              <w:rPr>
                <w:rFonts w:ascii="Arial" w:hAnsi="Arial" w:cs="Arial"/>
                <w:iCs/>
                <w:sz w:val="24"/>
                <w:szCs w:val="24"/>
              </w:rPr>
              <w:lastRenderedPageBreak/>
              <w:t>osob</w:t>
            </w:r>
            <w:r>
              <w:rPr>
                <w:rFonts w:ascii="Arial" w:hAnsi="Arial" w:cs="Arial"/>
                <w:iCs/>
                <w:sz w:val="24"/>
                <w:szCs w:val="24"/>
              </w:rPr>
              <w:t>y</w:t>
            </w:r>
          </w:p>
        </w:tc>
        <w:tc>
          <w:tcPr>
            <w:tcW w:w="704" w:type="pct"/>
            <w:shd w:val="clear" w:color="auto" w:fill="auto"/>
            <w:vAlign w:val="center"/>
          </w:tcPr>
          <w:p w14:paraId="585739CE" w14:textId="4F2145EE" w:rsidR="00A222FC" w:rsidRPr="00956EDE" w:rsidRDefault="00A222FC" w:rsidP="00E20AD5">
            <w:pPr>
              <w:spacing w:before="60" w:after="60"/>
              <w:jc w:val="center"/>
              <w:rPr>
                <w:rFonts w:ascii="Arial" w:hAnsi="Arial" w:cs="Arial"/>
                <w:iCs/>
                <w:sz w:val="24"/>
                <w:szCs w:val="24"/>
              </w:rPr>
            </w:pPr>
            <w:r w:rsidRPr="00956EDE">
              <w:rPr>
                <w:rFonts w:ascii="Arial" w:hAnsi="Arial" w:cs="Arial"/>
                <w:iCs/>
                <w:sz w:val="24"/>
                <w:szCs w:val="24"/>
              </w:rPr>
              <w:t>wskaźnik produktu</w:t>
            </w:r>
          </w:p>
        </w:tc>
        <w:tc>
          <w:tcPr>
            <w:tcW w:w="2421" w:type="pct"/>
            <w:shd w:val="clear" w:color="auto" w:fill="auto"/>
          </w:tcPr>
          <w:p w14:paraId="22E6B8D8" w14:textId="2D0D28E0" w:rsidR="00A222FC" w:rsidRPr="00956EDE" w:rsidRDefault="00A222FC" w:rsidP="00A222FC">
            <w:pPr>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Osoby długotrwale bezrobotne to osoby bezrobotne pozostające w rejestrze powiatowego urzędu pracy przez okres ponad 12 miesięcy w okresie ostatnich </w:t>
            </w:r>
            <w:r w:rsidRPr="00956EDE">
              <w:rPr>
                <w:rFonts w:ascii="Arial" w:eastAsia="Times New Roman" w:hAnsi="Arial" w:cs="Arial"/>
                <w:sz w:val="24"/>
                <w:szCs w:val="24"/>
                <w:lang w:eastAsia="pl-PL"/>
              </w:rPr>
              <w:lastRenderedPageBreak/>
              <w:t xml:space="preserve">2 lat, z wyłączeniem okresów odbywania stażu i przygotowania zawodowego dorosłych. Status na rynku pracy jest określany w dniu rozpoczęcia uczestnictwa w projekcie, tj. w momencie rozpoczęcia udziału w pierwszej formie wsparcia w projekcie. </w:t>
            </w:r>
          </w:p>
          <w:p w14:paraId="2551837B" w14:textId="084DF842" w:rsidR="00A222FC" w:rsidRPr="00956EDE" w:rsidRDefault="00A222FC" w:rsidP="00A222FC">
            <w:pPr>
              <w:spacing w:after="160" w:line="259" w:lineRule="auto"/>
              <w:jc w:val="both"/>
              <w:rPr>
                <w:rFonts w:ascii="Arial" w:eastAsia="Times New Roman" w:hAnsi="Arial" w:cs="Arial"/>
                <w:iCs/>
                <w:sz w:val="24"/>
                <w:szCs w:val="24"/>
                <w:lang w:eastAsia="pl-PL"/>
              </w:rPr>
            </w:pPr>
            <w:r w:rsidRPr="00956EDE">
              <w:rPr>
                <w:rFonts w:ascii="Arial" w:eastAsia="Times New Roman" w:hAnsi="Arial" w:cs="Arial"/>
                <w:sz w:val="24"/>
                <w:szCs w:val="24"/>
                <w:lang w:eastAsia="pl-PL"/>
              </w:rPr>
              <w:t>Definicja opracowana na podstawie: ustawa z dnia 20 kwietnia 2004 r. o promocji zatrudnienia i instytucjach rynku pracy</w:t>
            </w:r>
          </w:p>
        </w:tc>
      </w:tr>
      <w:tr w:rsidR="00A222FC" w:rsidRPr="00236549" w14:paraId="014C64B1" w14:textId="77777777" w:rsidTr="269357C5">
        <w:tc>
          <w:tcPr>
            <w:tcW w:w="390" w:type="pct"/>
            <w:shd w:val="clear" w:color="auto" w:fill="auto"/>
            <w:vAlign w:val="center"/>
          </w:tcPr>
          <w:p w14:paraId="6E6E5289" w14:textId="77777777" w:rsidR="00A222FC" w:rsidRPr="00236549" w:rsidRDefault="00A222FC" w:rsidP="00E20AD5">
            <w:pPr>
              <w:pStyle w:val="Akapitzlist"/>
              <w:numPr>
                <w:ilvl w:val="0"/>
                <w:numId w:val="40"/>
              </w:numPr>
              <w:tabs>
                <w:tab w:val="left" w:pos="344"/>
              </w:tabs>
              <w:rPr>
                <w:rFonts w:ascii="Arial" w:hAnsi="Arial" w:cs="Arial"/>
                <w:iCs/>
                <w:sz w:val="24"/>
                <w:szCs w:val="24"/>
              </w:rPr>
            </w:pPr>
          </w:p>
        </w:tc>
        <w:tc>
          <w:tcPr>
            <w:tcW w:w="938" w:type="pct"/>
            <w:shd w:val="clear" w:color="auto" w:fill="auto"/>
            <w:vAlign w:val="center"/>
          </w:tcPr>
          <w:p w14:paraId="19614ED4" w14:textId="73F6807A" w:rsidR="00A222FC" w:rsidRPr="00956EDE" w:rsidRDefault="00713F91" w:rsidP="00E20AD5">
            <w:pPr>
              <w:spacing w:before="60" w:after="60"/>
              <w:rPr>
                <w:rFonts w:ascii="Arial" w:hAnsi="Arial" w:cs="Arial"/>
                <w:sz w:val="24"/>
                <w:szCs w:val="24"/>
              </w:rPr>
            </w:pPr>
            <w:r w:rsidRPr="00956EDE">
              <w:rPr>
                <w:rFonts w:ascii="Arial" w:hAnsi="Arial" w:cs="Arial"/>
                <w:sz w:val="24"/>
                <w:szCs w:val="24"/>
              </w:rPr>
              <w:t>Liczba osób niezatrudnionych objętych wsparciem w programie</w:t>
            </w:r>
          </w:p>
        </w:tc>
        <w:tc>
          <w:tcPr>
            <w:tcW w:w="547" w:type="pct"/>
            <w:shd w:val="clear" w:color="auto" w:fill="auto"/>
            <w:vAlign w:val="center"/>
          </w:tcPr>
          <w:p w14:paraId="4519D4A3" w14:textId="4F62795A" w:rsidR="00A222FC" w:rsidRPr="00956EDE" w:rsidRDefault="00896049" w:rsidP="00E20AD5">
            <w:pPr>
              <w:spacing w:before="60" w:after="60"/>
              <w:jc w:val="center"/>
              <w:rPr>
                <w:rFonts w:ascii="Arial" w:hAnsi="Arial" w:cs="Arial"/>
                <w:iCs/>
                <w:sz w:val="24"/>
                <w:szCs w:val="24"/>
              </w:rPr>
            </w:pPr>
            <w:r w:rsidRPr="00956EDE">
              <w:rPr>
                <w:rFonts w:ascii="Arial" w:hAnsi="Arial" w:cs="Arial"/>
                <w:iCs/>
                <w:sz w:val="24"/>
                <w:szCs w:val="24"/>
              </w:rPr>
              <w:t>osob</w:t>
            </w:r>
            <w:r>
              <w:rPr>
                <w:rFonts w:ascii="Arial" w:hAnsi="Arial" w:cs="Arial"/>
                <w:iCs/>
                <w:sz w:val="24"/>
                <w:szCs w:val="24"/>
              </w:rPr>
              <w:t>y</w:t>
            </w:r>
          </w:p>
        </w:tc>
        <w:tc>
          <w:tcPr>
            <w:tcW w:w="704" w:type="pct"/>
            <w:shd w:val="clear" w:color="auto" w:fill="auto"/>
            <w:vAlign w:val="center"/>
          </w:tcPr>
          <w:p w14:paraId="0AFF3ED8" w14:textId="5E9697A8" w:rsidR="00A222FC" w:rsidRPr="00956EDE" w:rsidRDefault="00A222FC" w:rsidP="00E20AD5">
            <w:pPr>
              <w:spacing w:before="60" w:after="60"/>
              <w:jc w:val="center"/>
              <w:rPr>
                <w:rFonts w:ascii="Arial" w:hAnsi="Arial" w:cs="Arial"/>
                <w:iCs/>
                <w:sz w:val="24"/>
                <w:szCs w:val="24"/>
              </w:rPr>
            </w:pPr>
            <w:r w:rsidRPr="00956EDE">
              <w:rPr>
                <w:rFonts w:ascii="Arial" w:hAnsi="Arial" w:cs="Arial"/>
                <w:iCs/>
                <w:sz w:val="24"/>
                <w:szCs w:val="24"/>
              </w:rPr>
              <w:t>wskaźnik produktu</w:t>
            </w:r>
          </w:p>
        </w:tc>
        <w:tc>
          <w:tcPr>
            <w:tcW w:w="2421" w:type="pct"/>
            <w:shd w:val="clear" w:color="auto" w:fill="auto"/>
          </w:tcPr>
          <w:p w14:paraId="1ED6CCA0" w14:textId="77777777" w:rsidR="00713F91" w:rsidRPr="00956EDE" w:rsidRDefault="00713F91" w:rsidP="00713F91">
            <w:pPr>
              <w:spacing w:after="120"/>
              <w:rPr>
                <w:rFonts w:ascii="Arial" w:hAnsi="Arial" w:cs="Arial"/>
                <w:sz w:val="24"/>
                <w:szCs w:val="24"/>
              </w:rPr>
            </w:pPr>
            <w:r w:rsidRPr="00956EDE">
              <w:rPr>
                <w:rFonts w:ascii="Arial" w:hAnsi="Arial" w:cs="Arial"/>
                <w:sz w:val="24"/>
                <w:szCs w:val="24"/>
              </w:rPr>
              <w:t xml:space="preserve">Łączna liczba osób bezrobotnych i biernych zawodowo zgodnie z definicjami wskaźników wspólnych: </w:t>
            </w:r>
            <w:r w:rsidRPr="00956EDE">
              <w:rPr>
                <w:rFonts w:ascii="Arial" w:hAnsi="Arial" w:cs="Arial"/>
                <w:i/>
                <w:iCs/>
                <w:sz w:val="24"/>
                <w:szCs w:val="24"/>
              </w:rPr>
              <w:t>liczba osób bezrobotnych, w tym długotrwale bezrobotnych, objętych wsparciem w programie</w:t>
            </w:r>
            <w:r w:rsidRPr="00956EDE">
              <w:rPr>
                <w:rFonts w:ascii="Arial" w:hAnsi="Arial" w:cs="Arial"/>
                <w:sz w:val="24"/>
                <w:szCs w:val="24"/>
              </w:rPr>
              <w:t xml:space="preserve"> i </w:t>
            </w:r>
            <w:r w:rsidRPr="00956EDE">
              <w:rPr>
                <w:rFonts w:ascii="Arial" w:hAnsi="Arial" w:cs="Arial"/>
                <w:i/>
                <w:iCs/>
                <w:sz w:val="24"/>
                <w:szCs w:val="24"/>
              </w:rPr>
              <w:t>liczba osób biernych zawodowo objętych wsparciem w programie</w:t>
            </w:r>
            <w:r w:rsidRPr="00956EDE">
              <w:rPr>
                <w:rFonts w:ascii="Arial" w:hAnsi="Arial" w:cs="Arial"/>
                <w:sz w:val="24"/>
                <w:szCs w:val="24"/>
              </w:rPr>
              <w:t>.</w:t>
            </w:r>
          </w:p>
          <w:p w14:paraId="7D1A9ED6" w14:textId="3174E5ED" w:rsidR="00A222FC" w:rsidRPr="00956EDE" w:rsidRDefault="00713F91" w:rsidP="00713F91">
            <w:pPr>
              <w:spacing w:after="160" w:line="259" w:lineRule="auto"/>
              <w:jc w:val="both"/>
              <w:rPr>
                <w:rFonts w:ascii="Arial" w:eastAsia="Times New Roman" w:hAnsi="Arial" w:cs="Arial"/>
                <w:iCs/>
                <w:sz w:val="24"/>
                <w:szCs w:val="24"/>
                <w:lang w:eastAsia="pl-PL"/>
              </w:rPr>
            </w:pPr>
            <w:r w:rsidRPr="00956EDE">
              <w:rPr>
                <w:rFonts w:ascii="Arial" w:hAnsi="Arial" w:cs="Arial"/>
                <w:sz w:val="24"/>
                <w:szCs w:val="24"/>
              </w:rPr>
              <w:t xml:space="preserve">Wskaźnik do zastosowania w przypadku nieużycia wskaźników: </w:t>
            </w:r>
            <w:r w:rsidRPr="00956EDE">
              <w:rPr>
                <w:rFonts w:ascii="Arial" w:hAnsi="Arial" w:cs="Arial"/>
                <w:i/>
                <w:iCs/>
                <w:sz w:val="24"/>
                <w:szCs w:val="24"/>
              </w:rPr>
              <w:t>liczba osób bezrobotnych, w tym długotrwale bezrobotnych, objętych wsparciem w programie</w:t>
            </w:r>
            <w:r w:rsidRPr="00956EDE">
              <w:rPr>
                <w:rFonts w:ascii="Arial" w:hAnsi="Arial" w:cs="Arial"/>
                <w:sz w:val="24"/>
                <w:szCs w:val="24"/>
              </w:rPr>
              <w:t xml:space="preserve"> i </w:t>
            </w:r>
            <w:r w:rsidRPr="00956EDE">
              <w:rPr>
                <w:rFonts w:ascii="Arial" w:hAnsi="Arial" w:cs="Arial"/>
                <w:i/>
                <w:iCs/>
                <w:sz w:val="24"/>
                <w:szCs w:val="24"/>
              </w:rPr>
              <w:t>liczba osób biernych zawodowo objętych wsparciem w programie</w:t>
            </w:r>
          </w:p>
        </w:tc>
      </w:tr>
      <w:tr w:rsidR="00713F91" w:rsidRPr="00236549" w14:paraId="3C937053" w14:textId="77777777" w:rsidTr="269357C5">
        <w:tc>
          <w:tcPr>
            <w:tcW w:w="390" w:type="pct"/>
            <w:shd w:val="clear" w:color="auto" w:fill="auto"/>
            <w:vAlign w:val="center"/>
          </w:tcPr>
          <w:p w14:paraId="4691CEBD" w14:textId="77777777" w:rsidR="00713F91" w:rsidRPr="00236549" w:rsidRDefault="00713F91" w:rsidP="00E20AD5">
            <w:pPr>
              <w:pStyle w:val="Akapitzlist"/>
              <w:numPr>
                <w:ilvl w:val="0"/>
                <w:numId w:val="40"/>
              </w:numPr>
              <w:tabs>
                <w:tab w:val="left" w:pos="344"/>
              </w:tabs>
              <w:rPr>
                <w:rFonts w:ascii="Arial" w:hAnsi="Arial" w:cs="Arial"/>
                <w:iCs/>
                <w:sz w:val="24"/>
                <w:szCs w:val="24"/>
              </w:rPr>
            </w:pPr>
          </w:p>
        </w:tc>
        <w:tc>
          <w:tcPr>
            <w:tcW w:w="938" w:type="pct"/>
            <w:shd w:val="clear" w:color="auto" w:fill="auto"/>
            <w:vAlign w:val="center"/>
          </w:tcPr>
          <w:p w14:paraId="62B50FE9" w14:textId="7FBB3C3A" w:rsidR="00713F91" w:rsidRPr="00956EDE" w:rsidRDefault="00713F91" w:rsidP="00E20AD5">
            <w:pPr>
              <w:spacing w:before="60" w:after="60"/>
              <w:rPr>
                <w:rFonts w:ascii="Arial" w:hAnsi="Arial" w:cs="Arial"/>
                <w:sz w:val="24"/>
                <w:szCs w:val="24"/>
              </w:rPr>
            </w:pPr>
            <w:r w:rsidRPr="00956EDE">
              <w:rPr>
                <w:rFonts w:ascii="Arial" w:hAnsi="Arial" w:cs="Arial"/>
                <w:sz w:val="24"/>
                <w:szCs w:val="24"/>
              </w:rPr>
              <w:t>Liczba podmiotów ekonomii społecznej objętych wsparciem</w:t>
            </w:r>
          </w:p>
        </w:tc>
        <w:tc>
          <w:tcPr>
            <w:tcW w:w="547" w:type="pct"/>
            <w:shd w:val="clear" w:color="auto" w:fill="auto"/>
            <w:vAlign w:val="center"/>
          </w:tcPr>
          <w:p w14:paraId="57304305" w14:textId="64F78B55" w:rsidR="00713F91" w:rsidRPr="00956EDE" w:rsidRDefault="00713F91" w:rsidP="00E20AD5">
            <w:pPr>
              <w:spacing w:before="60" w:after="60"/>
              <w:jc w:val="center"/>
              <w:rPr>
                <w:rFonts w:ascii="Arial" w:hAnsi="Arial" w:cs="Arial"/>
                <w:iCs/>
                <w:sz w:val="24"/>
                <w:szCs w:val="24"/>
              </w:rPr>
            </w:pPr>
            <w:r w:rsidRPr="00956EDE">
              <w:rPr>
                <w:rFonts w:ascii="Arial" w:hAnsi="Arial" w:cs="Arial"/>
                <w:iCs/>
                <w:sz w:val="24"/>
                <w:szCs w:val="24"/>
              </w:rPr>
              <w:t>podmiot</w:t>
            </w:r>
            <w:r w:rsidR="00A3080F">
              <w:rPr>
                <w:rFonts w:ascii="Arial" w:hAnsi="Arial" w:cs="Arial"/>
                <w:iCs/>
                <w:sz w:val="24"/>
                <w:szCs w:val="24"/>
              </w:rPr>
              <w:t>y</w:t>
            </w:r>
          </w:p>
        </w:tc>
        <w:tc>
          <w:tcPr>
            <w:tcW w:w="704" w:type="pct"/>
            <w:shd w:val="clear" w:color="auto" w:fill="auto"/>
            <w:vAlign w:val="center"/>
          </w:tcPr>
          <w:p w14:paraId="71880DCD" w14:textId="2BD10C49" w:rsidR="00713F91" w:rsidRPr="00956EDE" w:rsidRDefault="00713F91" w:rsidP="00E20AD5">
            <w:pPr>
              <w:spacing w:before="60" w:after="60"/>
              <w:jc w:val="center"/>
              <w:rPr>
                <w:rFonts w:ascii="Arial" w:hAnsi="Arial" w:cs="Arial"/>
                <w:iCs/>
                <w:sz w:val="24"/>
                <w:szCs w:val="24"/>
              </w:rPr>
            </w:pPr>
            <w:r w:rsidRPr="00956EDE">
              <w:rPr>
                <w:rFonts w:ascii="Arial" w:hAnsi="Arial" w:cs="Arial"/>
                <w:iCs/>
                <w:sz w:val="24"/>
                <w:szCs w:val="24"/>
              </w:rPr>
              <w:t>wskaźnik produktu</w:t>
            </w:r>
          </w:p>
        </w:tc>
        <w:tc>
          <w:tcPr>
            <w:tcW w:w="2421" w:type="pct"/>
            <w:shd w:val="clear" w:color="auto" w:fill="auto"/>
          </w:tcPr>
          <w:p w14:paraId="16BBD6E0" w14:textId="77777777" w:rsidR="00713F91" w:rsidRPr="00956EDE" w:rsidRDefault="00713F91" w:rsidP="00713F91">
            <w:pPr>
              <w:spacing w:after="120"/>
              <w:rPr>
                <w:rFonts w:ascii="Arial" w:hAnsi="Arial" w:cs="Arial"/>
                <w:sz w:val="24"/>
                <w:szCs w:val="24"/>
              </w:rPr>
            </w:pPr>
            <w:r w:rsidRPr="00956EDE">
              <w:rPr>
                <w:rFonts w:ascii="Arial" w:hAnsi="Arial" w:cs="Arial"/>
                <w:sz w:val="24"/>
                <w:szCs w:val="24"/>
              </w:rPr>
              <w:t>We wskaźniku należy wykazać podmioty ekonomii społecznej, które otrzymały wsparcie bezpośrednie w ramach projektu.</w:t>
            </w:r>
          </w:p>
          <w:p w14:paraId="3F2F05C6" w14:textId="77777777" w:rsidR="00713F91" w:rsidRPr="00956EDE" w:rsidRDefault="00713F91" w:rsidP="00713F91">
            <w:pPr>
              <w:spacing w:after="120"/>
              <w:rPr>
                <w:rFonts w:ascii="Arial" w:hAnsi="Arial" w:cs="Arial"/>
                <w:sz w:val="24"/>
                <w:szCs w:val="24"/>
              </w:rPr>
            </w:pPr>
            <w:r w:rsidRPr="00956EDE">
              <w:rPr>
                <w:rFonts w:ascii="Arial" w:hAnsi="Arial" w:cs="Arial"/>
                <w:sz w:val="24"/>
                <w:szCs w:val="24"/>
              </w:rPr>
              <w:t>Definicja PES oraz zakres wsparcia zgodny z wytycznymi ministra właściwego ds. rozwoju regionalnego.</w:t>
            </w:r>
          </w:p>
          <w:p w14:paraId="09FD51D4" w14:textId="77777777" w:rsidR="00713F91" w:rsidRPr="00956EDE" w:rsidRDefault="00713F91" w:rsidP="00713F91">
            <w:pPr>
              <w:spacing w:after="120"/>
              <w:rPr>
                <w:rFonts w:ascii="Arial" w:hAnsi="Arial" w:cs="Arial"/>
                <w:sz w:val="24"/>
                <w:szCs w:val="24"/>
              </w:rPr>
            </w:pPr>
            <w:r w:rsidRPr="00956EDE">
              <w:rPr>
                <w:rFonts w:ascii="Arial" w:hAnsi="Arial" w:cs="Arial"/>
                <w:sz w:val="24"/>
                <w:szCs w:val="24"/>
              </w:rPr>
              <w:t>Jeden podmiot wykazywany jest raz w ramach wskaźnika, niezależnie od liczby form wsparcia, z których skorzystał.</w:t>
            </w:r>
          </w:p>
          <w:p w14:paraId="0B865C66" w14:textId="12B75956" w:rsidR="00713F91" w:rsidRPr="00956EDE" w:rsidRDefault="00713F91" w:rsidP="00713F91">
            <w:pPr>
              <w:spacing w:after="160" w:line="259" w:lineRule="auto"/>
              <w:jc w:val="both"/>
              <w:rPr>
                <w:rFonts w:ascii="Arial" w:eastAsia="Times New Roman" w:hAnsi="Arial" w:cs="Arial"/>
                <w:iCs/>
                <w:sz w:val="24"/>
                <w:szCs w:val="24"/>
                <w:lang w:eastAsia="pl-PL"/>
              </w:rPr>
            </w:pPr>
            <w:r w:rsidRPr="00956EDE">
              <w:rPr>
                <w:rFonts w:ascii="Arial" w:hAnsi="Arial" w:cs="Arial"/>
                <w:sz w:val="24"/>
                <w:szCs w:val="24"/>
              </w:rPr>
              <w:lastRenderedPageBreak/>
              <w:t>Podmiot należy wykazać w momencie objęcia instytucji pierwszą formą wsparcia w projekcie.</w:t>
            </w:r>
          </w:p>
        </w:tc>
      </w:tr>
      <w:tr w:rsidR="00713F91" w:rsidRPr="00236549" w14:paraId="0FE7831F" w14:textId="77777777" w:rsidTr="269357C5">
        <w:tc>
          <w:tcPr>
            <w:tcW w:w="390" w:type="pct"/>
            <w:shd w:val="clear" w:color="auto" w:fill="auto"/>
            <w:vAlign w:val="center"/>
          </w:tcPr>
          <w:p w14:paraId="11531412" w14:textId="77777777" w:rsidR="00713F91" w:rsidRPr="00236549" w:rsidRDefault="00713F91" w:rsidP="00E20AD5">
            <w:pPr>
              <w:pStyle w:val="Akapitzlist"/>
              <w:numPr>
                <w:ilvl w:val="0"/>
                <w:numId w:val="40"/>
              </w:numPr>
              <w:tabs>
                <w:tab w:val="left" w:pos="344"/>
              </w:tabs>
              <w:rPr>
                <w:rFonts w:ascii="Arial" w:hAnsi="Arial" w:cs="Arial"/>
                <w:iCs/>
                <w:sz w:val="24"/>
                <w:szCs w:val="24"/>
              </w:rPr>
            </w:pPr>
          </w:p>
        </w:tc>
        <w:tc>
          <w:tcPr>
            <w:tcW w:w="938" w:type="pct"/>
            <w:shd w:val="clear" w:color="auto" w:fill="auto"/>
            <w:vAlign w:val="center"/>
          </w:tcPr>
          <w:p w14:paraId="3B35A9A4" w14:textId="2628A721" w:rsidR="00713F91" w:rsidRPr="00956EDE" w:rsidRDefault="00D53BB3" w:rsidP="00E20AD5">
            <w:pPr>
              <w:spacing w:before="60" w:after="60"/>
              <w:rPr>
                <w:rFonts w:ascii="Arial" w:hAnsi="Arial" w:cs="Arial"/>
                <w:sz w:val="24"/>
                <w:szCs w:val="24"/>
              </w:rPr>
            </w:pPr>
            <w:r w:rsidRPr="00956EDE">
              <w:rPr>
                <w:rFonts w:ascii="Arial" w:hAnsi="Arial" w:cs="Arial"/>
                <w:sz w:val="24"/>
                <w:szCs w:val="24"/>
              </w:rPr>
              <w:t>Liczba miejsc pracy utworzonych w przedsiębiorstwach społecznych</w:t>
            </w:r>
          </w:p>
        </w:tc>
        <w:tc>
          <w:tcPr>
            <w:tcW w:w="547" w:type="pct"/>
            <w:shd w:val="clear" w:color="auto" w:fill="auto"/>
            <w:vAlign w:val="center"/>
          </w:tcPr>
          <w:p w14:paraId="14B9CDC6" w14:textId="0FD652E1" w:rsidR="00713F91" w:rsidRPr="00956EDE" w:rsidRDefault="00896049" w:rsidP="00E20AD5">
            <w:pPr>
              <w:spacing w:before="60" w:after="60"/>
              <w:jc w:val="center"/>
              <w:rPr>
                <w:rFonts w:ascii="Arial" w:hAnsi="Arial" w:cs="Arial"/>
                <w:iCs/>
                <w:sz w:val="24"/>
                <w:szCs w:val="24"/>
              </w:rPr>
            </w:pPr>
            <w:r w:rsidRPr="00956EDE">
              <w:rPr>
                <w:rFonts w:ascii="Arial" w:hAnsi="Arial" w:cs="Arial"/>
                <w:iCs/>
                <w:sz w:val="24"/>
                <w:szCs w:val="24"/>
              </w:rPr>
              <w:t>sztuk</w:t>
            </w:r>
            <w:r>
              <w:rPr>
                <w:rFonts w:ascii="Arial" w:hAnsi="Arial" w:cs="Arial"/>
                <w:iCs/>
                <w:sz w:val="24"/>
                <w:szCs w:val="24"/>
              </w:rPr>
              <w:t>i</w:t>
            </w:r>
          </w:p>
        </w:tc>
        <w:tc>
          <w:tcPr>
            <w:tcW w:w="704" w:type="pct"/>
            <w:shd w:val="clear" w:color="auto" w:fill="auto"/>
            <w:vAlign w:val="center"/>
          </w:tcPr>
          <w:p w14:paraId="3717EC90" w14:textId="7DF7CCF3" w:rsidR="00713F91" w:rsidRPr="00956EDE" w:rsidRDefault="00D53BB3" w:rsidP="00E20AD5">
            <w:pPr>
              <w:spacing w:before="60" w:after="60"/>
              <w:jc w:val="center"/>
              <w:rPr>
                <w:rFonts w:ascii="Arial" w:hAnsi="Arial" w:cs="Arial"/>
                <w:iCs/>
                <w:sz w:val="24"/>
                <w:szCs w:val="24"/>
              </w:rPr>
            </w:pPr>
            <w:r w:rsidRPr="00956EDE">
              <w:rPr>
                <w:rFonts w:ascii="Arial" w:hAnsi="Arial" w:cs="Arial"/>
                <w:sz w:val="24"/>
                <w:szCs w:val="24"/>
              </w:rPr>
              <w:t>wskaźnik rezultatu bezpośredniego</w:t>
            </w:r>
          </w:p>
        </w:tc>
        <w:tc>
          <w:tcPr>
            <w:tcW w:w="2421" w:type="pct"/>
            <w:shd w:val="clear" w:color="auto" w:fill="auto"/>
          </w:tcPr>
          <w:p w14:paraId="76453038" w14:textId="77777777" w:rsidR="00D53BB3" w:rsidRPr="00956EDE" w:rsidRDefault="00D53BB3" w:rsidP="00D53BB3">
            <w:pPr>
              <w:spacing w:after="120"/>
              <w:rPr>
                <w:rFonts w:ascii="Arial" w:hAnsi="Arial" w:cs="Arial"/>
                <w:sz w:val="24"/>
                <w:szCs w:val="24"/>
              </w:rPr>
            </w:pPr>
            <w:r w:rsidRPr="00956EDE">
              <w:rPr>
                <w:rFonts w:ascii="Arial" w:hAnsi="Arial" w:cs="Arial"/>
                <w:sz w:val="24"/>
                <w:szCs w:val="24"/>
              </w:rPr>
              <w:t>Wskaźnik uwzględnia wyłącznie miejsca pracy powstałe w wyniku przyznania wsparcia finansowego.</w:t>
            </w:r>
          </w:p>
          <w:p w14:paraId="5757CEC7" w14:textId="77777777" w:rsidR="00D53BB3" w:rsidRPr="00956EDE" w:rsidRDefault="00D53BB3" w:rsidP="00D53BB3">
            <w:pPr>
              <w:spacing w:after="120"/>
              <w:rPr>
                <w:rFonts w:ascii="Arial" w:hAnsi="Arial" w:cs="Arial"/>
                <w:sz w:val="24"/>
                <w:szCs w:val="24"/>
              </w:rPr>
            </w:pPr>
            <w:r w:rsidRPr="00956EDE">
              <w:rPr>
                <w:rFonts w:ascii="Arial" w:hAnsi="Arial" w:cs="Arial"/>
                <w:sz w:val="24"/>
                <w:szCs w:val="24"/>
              </w:rPr>
              <w:t>Definicja przedsiębiorstwa społecznego oraz zakres wsparcia zgodny z wytycznymi ministra właściwego ds. rozwoju regionalnego.</w:t>
            </w:r>
          </w:p>
          <w:p w14:paraId="5EA47AA3" w14:textId="77777777" w:rsidR="00D53BB3" w:rsidRPr="00956EDE" w:rsidRDefault="00D53BB3" w:rsidP="00D53BB3">
            <w:pPr>
              <w:spacing w:after="120"/>
              <w:rPr>
                <w:rFonts w:ascii="Arial" w:hAnsi="Arial" w:cs="Arial"/>
                <w:sz w:val="24"/>
                <w:szCs w:val="24"/>
              </w:rPr>
            </w:pPr>
            <w:r w:rsidRPr="00956EDE">
              <w:rPr>
                <w:rFonts w:ascii="Arial" w:hAnsi="Arial" w:cs="Arial"/>
                <w:sz w:val="24"/>
                <w:szCs w:val="24"/>
              </w:rPr>
              <w:t>We wskaźniku wykazywane są stworzone miejsca pracy dla osób wskazanych w definicji przedsiębiorstwa społecznego.</w:t>
            </w:r>
          </w:p>
          <w:p w14:paraId="2BDB1CAA" w14:textId="6701B0F4" w:rsidR="00713F91" w:rsidRPr="00956EDE" w:rsidRDefault="00D53BB3" w:rsidP="00D53BB3">
            <w:pPr>
              <w:spacing w:after="160" w:line="259" w:lineRule="auto"/>
              <w:jc w:val="both"/>
              <w:rPr>
                <w:rFonts w:ascii="Arial" w:eastAsia="Times New Roman" w:hAnsi="Arial" w:cs="Arial"/>
                <w:iCs/>
                <w:sz w:val="24"/>
                <w:szCs w:val="24"/>
                <w:lang w:eastAsia="pl-PL"/>
              </w:rPr>
            </w:pPr>
            <w:r w:rsidRPr="00956EDE">
              <w:rPr>
                <w:rFonts w:ascii="Arial" w:hAnsi="Arial" w:cs="Arial"/>
                <w:sz w:val="24"/>
                <w:szCs w:val="24"/>
              </w:rPr>
              <w:t>Moment pomiaru to podpisanie umowy o pracę, w tym spółdzielczej umowy o pracę.</w:t>
            </w:r>
          </w:p>
        </w:tc>
      </w:tr>
      <w:tr w:rsidR="00D53BB3" w:rsidRPr="00236549" w14:paraId="40561180" w14:textId="77777777" w:rsidTr="269357C5">
        <w:tc>
          <w:tcPr>
            <w:tcW w:w="390" w:type="pct"/>
            <w:shd w:val="clear" w:color="auto" w:fill="auto"/>
            <w:vAlign w:val="center"/>
          </w:tcPr>
          <w:p w14:paraId="041C9270" w14:textId="77777777" w:rsidR="00D53BB3" w:rsidRPr="00236549" w:rsidRDefault="00D53BB3" w:rsidP="00E20AD5">
            <w:pPr>
              <w:pStyle w:val="Akapitzlist"/>
              <w:numPr>
                <w:ilvl w:val="0"/>
                <w:numId w:val="40"/>
              </w:numPr>
              <w:tabs>
                <w:tab w:val="left" w:pos="344"/>
              </w:tabs>
              <w:rPr>
                <w:rFonts w:ascii="Arial" w:hAnsi="Arial" w:cs="Arial"/>
                <w:iCs/>
                <w:sz w:val="24"/>
                <w:szCs w:val="24"/>
              </w:rPr>
            </w:pPr>
          </w:p>
        </w:tc>
        <w:tc>
          <w:tcPr>
            <w:tcW w:w="938" w:type="pct"/>
            <w:shd w:val="clear" w:color="auto" w:fill="auto"/>
            <w:vAlign w:val="center"/>
          </w:tcPr>
          <w:p w14:paraId="572A766D" w14:textId="68119F4E" w:rsidR="00D53BB3" w:rsidRPr="00956EDE" w:rsidRDefault="00D53BB3" w:rsidP="00E20AD5">
            <w:pPr>
              <w:spacing w:before="60" w:after="60"/>
              <w:rPr>
                <w:rFonts w:ascii="Arial" w:hAnsi="Arial" w:cs="Arial"/>
                <w:sz w:val="24"/>
                <w:szCs w:val="24"/>
              </w:rPr>
            </w:pPr>
            <w:r w:rsidRPr="00956EDE">
              <w:rPr>
                <w:rFonts w:ascii="Arial" w:hAnsi="Arial" w:cs="Arial"/>
                <w:sz w:val="24"/>
                <w:szCs w:val="24"/>
              </w:rPr>
              <w:t>Liczba osób, które uzyskały kwalifikacje po opuszczeniu programu</w:t>
            </w:r>
          </w:p>
        </w:tc>
        <w:tc>
          <w:tcPr>
            <w:tcW w:w="547" w:type="pct"/>
            <w:shd w:val="clear" w:color="auto" w:fill="auto"/>
            <w:vAlign w:val="center"/>
          </w:tcPr>
          <w:p w14:paraId="130E2617" w14:textId="2C364BC5" w:rsidR="00D53BB3" w:rsidRPr="00956EDE" w:rsidRDefault="00896049" w:rsidP="00E20AD5">
            <w:pPr>
              <w:spacing w:before="60" w:after="60"/>
              <w:jc w:val="center"/>
              <w:rPr>
                <w:rFonts w:ascii="Arial" w:hAnsi="Arial" w:cs="Arial"/>
                <w:iCs/>
                <w:sz w:val="24"/>
                <w:szCs w:val="24"/>
              </w:rPr>
            </w:pPr>
            <w:r w:rsidRPr="00956EDE">
              <w:rPr>
                <w:rFonts w:ascii="Arial" w:hAnsi="Arial" w:cs="Arial"/>
                <w:iCs/>
                <w:sz w:val="24"/>
                <w:szCs w:val="24"/>
              </w:rPr>
              <w:t>osob</w:t>
            </w:r>
            <w:r>
              <w:rPr>
                <w:rFonts w:ascii="Arial" w:hAnsi="Arial" w:cs="Arial"/>
                <w:iCs/>
                <w:sz w:val="24"/>
                <w:szCs w:val="24"/>
              </w:rPr>
              <w:t>y</w:t>
            </w:r>
          </w:p>
        </w:tc>
        <w:tc>
          <w:tcPr>
            <w:tcW w:w="704" w:type="pct"/>
            <w:shd w:val="clear" w:color="auto" w:fill="auto"/>
            <w:vAlign w:val="center"/>
          </w:tcPr>
          <w:p w14:paraId="20D808D0" w14:textId="05C387DE" w:rsidR="00D53BB3" w:rsidRPr="00956EDE" w:rsidRDefault="00D53BB3" w:rsidP="00E20AD5">
            <w:pPr>
              <w:spacing w:before="60" w:after="60"/>
              <w:jc w:val="center"/>
              <w:rPr>
                <w:rFonts w:ascii="Arial" w:hAnsi="Arial" w:cs="Arial"/>
                <w:iCs/>
                <w:sz w:val="24"/>
                <w:szCs w:val="24"/>
              </w:rPr>
            </w:pPr>
            <w:r w:rsidRPr="00956EDE">
              <w:rPr>
                <w:rFonts w:ascii="Arial" w:hAnsi="Arial" w:cs="Arial"/>
                <w:sz w:val="24"/>
                <w:szCs w:val="24"/>
              </w:rPr>
              <w:t>wskaźnik rezultatu bezpośredniego</w:t>
            </w:r>
          </w:p>
        </w:tc>
        <w:tc>
          <w:tcPr>
            <w:tcW w:w="2421" w:type="pct"/>
            <w:shd w:val="clear" w:color="auto" w:fill="auto"/>
          </w:tcPr>
          <w:p w14:paraId="64CE8986" w14:textId="77777777" w:rsidR="00D53BB3" w:rsidRPr="00956EDE" w:rsidRDefault="00D53BB3" w:rsidP="00D53BB3">
            <w:pPr>
              <w:spacing w:before="120" w:after="120"/>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Do wskaźnika wlicza się osoby, które otrzymały wsparcie EFS+ i uzyskały kwalifikacje lub kompetencje po opuszczeniu projektu. </w:t>
            </w:r>
          </w:p>
          <w:p w14:paraId="627ED17D" w14:textId="77777777" w:rsidR="00D53BB3" w:rsidRPr="00956EDE" w:rsidRDefault="00D53BB3" w:rsidP="00D53BB3">
            <w:pPr>
              <w:spacing w:before="120" w:after="120"/>
              <w:jc w:val="both"/>
              <w:rPr>
                <w:rFonts w:ascii="Arial" w:eastAsia="Times New Roman" w:hAnsi="Arial" w:cs="Arial"/>
                <w:i/>
                <w:iCs/>
                <w:sz w:val="24"/>
                <w:szCs w:val="24"/>
                <w:lang w:eastAsia="pl-PL"/>
              </w:rPr>
            </w:pPr>
            <w:r w:rsidRPr="00956EDE">
              <w:rPr>
                <w:rFonts w:ascii="Arial" w:eastAsia="Times New Roman" w:hAnsi="Arial" w:cs="Arial"/>
                <w:i/>
                <w:iCs/>
                <w:sz w:val="24"/>
                <w:szCs w:val="24"/>
                <w:lang w:eastAsia="pl-PL"/>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36379342" w14:textId="77777777" w:rsidR="00D53BB3" w:rsidRPr="00956EDE" w:rsidRDefault="00D53BB3" w:rsidP="00D53BB3">
            <w:pPr>
              <w:spacing w:before="120" w:after="120"/>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Kwalifikacje mogą być nadawane przez: </w:t>
            </w:r>
          </w:p>
          <w:p w14:paraId="0D192591" w14:textId="77777777" w:rsidR="00D53BB3" w:rsidRPr="00956EDE" w:rsidRDefault="00D53BB3" w:rsidP="00D53BB3">
            <w:pPr>
              <w:pStyle w:val="Akapitzlist"/>
              <w:numPr>
                <w:ilvl w:val="0"/>
                <w:numId w:val="47"/>
              </w:numPr>
              <w:spacing w:before="120" w:after="120" w:line="240" w:lineRule="auto"/>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podmioty uprawnione do realizacji procesów walidacji i certyfikowania zgodnie z ustawą z dnia 22 grudnia </w:t>
            </w:r>
            <w:r w:rsidRPr="00956EDE">
              <w:rPr>
                <w:rFonts w:ascii="Arial" w:eastAsia="Times New Roman" w:hAnsi="Arial" w:cs="Arial"/>
                <w:sz w:val="24"/>
                <w:szCs w:val="24"/>
                <w:lang w:eastAsia="pl-PL"/>
              </w:rPr>
              <w:lastRenderedPageBreak/>
              <w:t>2015 r. o Zintegrowanym Systemie Kwalifikacji,</w:t>
            </w:r>
          </w:p>
          <w:p w14:paraId="18C2F64F" w14:textId="77777777" w:rsidR="00D53BB3" w:rsidRPr="00956EDE" w:rsidRDefault="00D53BB3" w:rsidP="00D53BB3">
            <w:pPr>
              <w:pStyle w:val="Akapitzlist"/>
              <w:numPr>
                <w:ilvl w:val="0"/>
                <w:numId w:val="47"/>
              </w:numPr>
              <w:spacing w:before="120" w:after="120" w:line="240" w:lineRule="auto"/>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podmioty uprawnione do realizacji procesów walidacji i certyfikowania na mocy innych przepisów prawa,</w:t>
            </w:r>
          </w:p>
          <w:p w14:paraId="0A6FE4E2" w14:textId="77777777" w:rsidR="00D53BB3" w:rsidRPr="00956EDE" w:rsidRDefault="00D53BB3" w:rsidP="00D53BB3">
            <w:pPr>
              <w:pStyle w:val="Akapitzlist"/>
              <w:numPr>
                <w:ilvl w:val="0"/>
                <w:numId w:val="47"/>
              </w:numPr>
              <w:spacing w:before="120" w:after="120" w:line="240" w:lineRule="auto"/>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podmioty uprawnione do wydawania dokumentów potwierdzających uzyskanie kwalifikacji, w tym w zawodzie,</w:t>
            </w:r>
          </w:p>
          <w:p w14:paraId="01AC5DB7" w14:textId="77777777" w:rsidR="00D53BB3" w:rsidRPr="00956EDE" w:rsidRDefault="00D53BB3" w:rsidP="00D53BB3">
            <w:pPr>
              <w:pStyle w:val="Akapitzlist"/>
              <w:numPr>
                <w:ilvl w:val="0"/>
                <w:numId w:val="47"/>
              </w:numPr>
              <w:spacing w:before="120" w:after="120" w:line="240" w:lineRule="auto"/>
              <w:jc w:val="both"/>
              <w:rPr>
                <w:rFonts w:ascii="Arial" w:eastAsia="Times New Roman" w:hAnsi="Arial" w:cs="Arial"/>
                <w:i/>
                <w:iCs/>
                <w:sz w:val="24"/>
                <w:szCs w:val="24"/>
                <w:lang w:eastAsia="pl-PL"/>
              </w:rPr>
            </w:pPr>
            <w:r w:rsidRPr="00956EDE">
              <w:rPr>
                <w:rFonts w:ascii="Arial" w:eastAsia="Times New Roman" w:hAnsi="Arial" w:cs="Arial"/>
                <w:sz w:val="24"/>
                <w:szCs w:val="24"/>
                <w:lang w:eastAsia="pl-PL"/>
              </w:rPr>
              <w:t>organy władz publicznych lub samorządów zawodowych, uprawnione do wydawania dokumentów potwierdzających kwalifikację na podstawie ustawy lub rozporządzenia.</w:t>
            </w:r>
          </w:p>
          <w:p w14:paraId="4C93DE04" w14:textId="77777777" w:rsidR="00D53BB3" w:rsidRPr="00956EDE" w:rsidRDefault="00D53BB3" w:rsidP="00D53BB3">
            <w:pPr>
              <w:spacing w:before="120" w:after="120"/>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5FB9238F" w14:textId="77777777" w:rsidR="00D53BB3" w:rsidRPr="00956EDE" w:rsidRDefault="00D53BB3" w:rsidP="00D53BB3">
            <w:pPr>
              <w:spacing w:before="120" w:after="120"/>
              <w:jc w:val="both"/>
              <w:rPr>
                <w:rFonts w:ascii="Arial" w:hAnsi="Arial" w:cs="Arial"/>
                <w:sz w:val="24"/>
                <w:szCs w:val="24"/>
              </w:rPr>
            </w:pPr>
            <w:r w:rsidRPr="00956EDE">
              <w:rPr>
                <w:rFonts w:ascii="Arial" w:hAnsi="Arial" w:cs="Arial"/>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3B1D2214" w14:textId="77777777" w:rsidR="00D53BB3" w:rsidRDefault="00D53BB3" w:rsidP="00D53BB3">
            <w:pPr>
              <w:rPr>
                <w:rFonts w:ascii="Arial" w:hAnsi="Arial" w:cs="Arial"/>
                <w:sz w:val="24"/>
                <w:szCs w:val="24"/>
              </w:rPr>
            </w:pPr>
            <w:r w:rsidRPr="00956EDE">
              <w:rPr>
                <w:rFonts w:ascii="Arial" w:hAnsi="Arial" w:cs="Arial"/>
                <w:sz w:val="24"/>
                <w:szCs w:val="24"/>
              </w:rPr>
              <w:lastRenderedPageBreak/>
              <w:t>Fakt nabycia kompetencji jest weryfikowany w ramach następujących etapów.</w:t>
            </w:r>
          </w:p>
          <w:p w14:paraId="7CA4D076" w14:textId="77777777" w:rsidR="002E5528" w:rsidRPr="002E5528" w:rsidRDefault="002E5528" w:rsidP="002E5528">
            <w:pPr>
              <w:rPr>
                <w:rFonts w:ascii="Arial" w:eastAsia="Arial" w:hAnsi="Arial" w:cs="Arial"/>
                <w:sz w:val="24"/>
                <w:szCs w:val="24"/>
              </w:rPr>
            </w:pPr>
            <w:r w:rsidRPr="002E5528">
              <w:rPr>
                <w:rFonts w:ascii="Arial" w:eastAsia="Arial" w:hAnsi="Arial" w:cs="Arial"/>
                <w:sz w:val="24"/>
                <w:szCs w:val="24"/>
              </w:rPr>
              <w:t>a) ETAP I – Zakres – zdefiniowanie w ramach wniosku o dofinansowanie (w przypadku projektów) lub usługi (w przypadku Podmiotowego Systemu Finansowania) grupy docelowej do objęcia wsparciem oraz zakresu tematycznego wsparcia, który będzie poddany ocenie,</w:t>
            </w:r>
          </w:p>
          <w:p w14:paraId="59DE32B5" w14:textId="77777777" w:rsidR="002E5528" w:rsidRPr="002E5528" w:rsidRDefault="002E5528" w:rsidP="002E5528">
            <w:pPr>
              <w:rPr>
                <w:rFonts w:ascii="Arial" w:eastAsia="Arial" w:hAnsi="Arial" w:cs="Arial"/>
                <w:sz w:val="24"/>
                <w:szCs w:val="24"/>
              </w:rPr>
            </w:pPr>
            <w:r w:rsidRPr="002E5528">
              <w:rPr>
                <w:rFonts w:ascii="Arial" w:eastAsia="Arial" w:hAnsi="Arial" w:cs="Arial"/>
                <w:sz w:val="24"/>
                <w:szCs w:val="24"/>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C4C1CB3" w14:textId="77777777" w:rsidR="002E5528" w:rsidRPr="002E5528" w:rsidRDefault="002E5528" w:rsidP="002E5528">
            <w:pPr>
              <w:rPr>
                <w:rFonts w:ascii="Arial" w:eastAsia="Arial" w:hAnsi="Arial" w:cs="Arial"/>
                <w:sz w:val="24"/>
                <w:szCs w:val="24"/>
              </w:rPr>
            </w:pPr>
            <w:r w:rsidRPr="002E5528">
              <w:rPr>
                <w:rFonts w:ascii="Arial" w:eastAsia="Arial" w:hAnsi="Arial" w:cs="Arial"/>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4EF5DBCA" w14:textId="77777777" w:rsidR="002E5528" w:rsidRPr="002E5528" w:rsidRDefault="002E5528" w:rsidP="002E5528">
            <w:pPr>
              <w:rPr>
                <w:rFonts w:ascii="Arial" w:eastAsia="Arial" w:hAnsi="Arial" w:cs="Arial"/>
                <w:sz w:val="24"/>
                <w:szCs w:val="24"/>
              </w:rPr>
            </w:pPr>
            <w:r w:rsidRPr="002E5528">
              <w:rPr>
                <w:rFonts w:ascii="Arial" w:eastAsia="Arial" w:hAnsi="Arial" w:cs="Arial"/>
                <w:sz w:val="24"/>
                <w:szCs w:val="24"/>
              </w:rPr>
              <w:lastRenderedPageBreak/>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8FDA947" w14:textId="77777777" w:rsidR="002E5528" w:rsidRPr="002E5528" w:rsidRDefault="002E5528" w:rsidP="002E5528">
            <w:pPr>
              <w:rPr>
                <w:rFonts w:ascii="Arial" w:eastAsia="Arial" w:hAnsi="Arial" w:cs="Arial"/>
                <w:sz w:val="24"/>
                <w:szCs w:val="24"/>
              </w:rPr>
            </w:pPr>
            <w:r w:rsidRPr="002E5528">
              <w:rPr>
                <w:rFonts w:ascii="Arial" w:eastAsia="Arial" w:hAnsi="Arial" w:cs="Arial"/>
                <w:sz w:val="24"/>
                <w:szCs w:val="24"/>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4653DAEA" w14:textId="77777777" w:rsidR="002E5528" w:rsidRPr="002E5528" w:rsidRDefault="002E5528" w:rsidP="002E5528">
            <w:pPr>
              <w:rPr>
                <w:rFonts w:ascii="Arial" w:eastAsia="Arial" w:hAnsi="Arial" w:cs="Arial"/>
                <w:sz w:val="24"/>
                <w:szCs w:val="24"/>
              </w:rPr>
            </w:pPr>
            <w:r w:rsidRPr="002E5528">
              <w:rPr>
                <w:rFonts w:ascii="Arial" w:eastAsia="Arial" w:hAnsi="Arial" w:cs="Arial"/>
                <w:sz w:val="24"/>
                <w:szCs w:val="24"/>
              </w:rPr>
              <w:t xml:space="preserve">Wykazywać należy wyłącznie kwalifikacje lub kompetencje osiągnięte w wyniku udziału w projekcie EFS+. Powinny one być wykazywane tylko raz dla uczestnika/projektu. </w:t>
            </w:r>
          </w:p>
          <w:p w14:paraId="1A021FD9" w14:textId="77777777" w:rsidR="002E5528" w:rsidRPr="002E5528" w:rsidRDefault="002E5528" w:rsidP="002E5528">
            <w:pPr>
              <w:rPr>
                <w:rFonts w:ascii="Arial" w:eastAsia="Arial" w:hAnsi="Arial" w:cs="Arial"/>
                <w:sz w:val="24"/>
                <w:szCs w:val="24"/>
              </w:rPr>
            </w:pPr>
            <w:r w:rsidRPr="002E5528">
              <w:rPr>
                <w:rFonts w:ascii="Arial" w:eastAsia="Arial" w:hAnsi="Arial" w:cs="Arial"/>
                <w:sz w:val="24"/>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5E8C7D54" w14:textId="77777777" w:rsidR="002E5528" w:rsidRPr="002E5528" w:rsidRDefault="002E5528" w:rsidP="002E5528">
            <w:pPr>
              <w:rPr>
                <w:rFonts w:ascii="Arial" w:eastAsia="Arial" w:hAnsi="Arial" w:cs="Arial"/>
                <w:sz w:val="24"/>
                <w:szCs w:val="24"/>
              </w:rPr>
            </w:pPr>
            <w:r w:rsidRPr="002E5528">
              <w:rPr>
                <w:rFonts w:ascii="Arial" w:eastAsia="Arial" w:hAnsi="Arial" w:cs="Arial"/>
                <w:sz w:val="24"/>
                <w:szCs w:val="24"/>
              </w:rPr>
              <w:t xml:space="preserve">Jeżeli okres oczekiwania na wyniki walidacji/certyfikacji jest dłuższy niż cztery tygodnie od zakończenia udziału w projekcie, ale egzamin odbył się w trakcie tych czterech tygodni, wówczas można uwzględnić osoby we wskaźniku (po otrzymaniu wyników). </w:t>
            </w:r>
            <w:r w:rsidRPr="002E5528">
              <w:rPr>
                <w:rFonts w:ascii="Arial" w:eastAsia="Arial" w:hAnsi="Arial" w:cs="Arial"/>
                <w:sz w:val="24"/>
                <w:szCs w:val="24"/>
              </w:rPr>
              <w:lastRenderedPageBreak/>
              <w:t>We wskaźniku należy uwzględnić jednak tylko te osoby, które otrzymały wyniki do czasu ostatecznego rozliczenia projektu.</w:t>
            </w:r>
          </w:p>
          <w:p w14:paraId="1AD6DFD8" w14:textId="4EB0F3E1" w:rsidR="002E5528" w:rsidRPr="00956EDE" w:rsidRDefault="002E5528" w:rsidP="002E5528">
            <w:pPr>
              <w:rPr>
                <w:rFonts w:ascii="Arial" w:eastAsia="Arial" w:hAnsi="Arial" w:cs="Arial"/>
                <w:sz w:val="24"/>
                <w:szCs w:val="24"/>
              </w:rPr>
            </w:pPr>
            <w:r w:rsidRPr="002E5528">
              <w:rPr>
                <w:rFonts w:ascii="Arial" w:eastAsia="Arial" w:hAnsi="Arial" w:cs="Arial"/>
                <w:sz w:val="24"/>
                <w:szCs w:val="24"/>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p>
        </w:tc>
      </w:tr>
      <w:tr w:rsidR="00D53BB3" w:rsidRPr="00236549" w14:paraId="1F045779" w14:textId="77777777" w:rsidTr="269357C5">
        <w:tc>
          <w:tcPr>
            <w:tcW w:w="390" w:type="pct"/>
            <w:shd w:val="clear" w:color="auto" w:fill="auto"/>
            <w:vAlign w:val="center"/>
          </w:tcPr>
          <w:p w14:paraId="5DCC008E" w14:textId="77777777" w:rsidR="00D53BB3" w:rsidRPr="00236549" w:rsidRDefault="00D53BB3" w:rsidP="00E20AD5">
            <w:pPr>
              <w:pStyle w:val="Akapitzlist"/>
              <w:numPr>
                <w:ilvl w:val="0"/>
                <w:numId w:val="40"/>
              </w:numPr>
              <w:tabs>
                <w:tab w:val="left" w:pos="344"/>
              </w:tabs>
              <w:rPr>
                <w:rFonts w:ascii="Arial" w:hAnsi="Arial" w:cs="Arial"/>
                <w:iCs/>
                <w:sz w:val="24"/>
                <w:szCs w:val="24"/>
              </w:rPr>
            </w:pPr>
          </w:p>
        </w:tc>
        <w:tc>
          <w:tcPr>
            <w:tcW w:w="938" w:type="pct"/>
            <w:shd w:val="clear" w:color="auto" w:fill="auto"/>
            <w:vAlign w:val="center"/>
          </w:tcPr>
          <w:p w14:paraId="763E2132" w14:textId="1C443C37" w:rsidR="00D53BB3" w:rsidRPr="00956EDE" w:rsidRDefault="00D53BB3" w:rsidP="00E20AD5">
            <w:pPr>
              <w:spacing w:before="60" w:after="60"/>
              <w:rPr>
                <w:rFonts w:ascii="Arial" w:hAnsi="Arial" w:cs="Arial"/>
                <w:sz w:val="24"/>
                <w:szCs w:val="24"/>
              </w:rPr>
            </w:pPr>
            <w:r w:rsidRPr="00956EDE">
              <w:rPr>
                <w:rFonts w:ascii="Arial" w:hAnsi="Arial" w:cs="Arial"/>
                <w:sz w:val="24"/>
                <w:szCs w:val="24"/>
              </w:rPr>
              <w:t>Liczba osób pracujących, łącznie z prowadzącymi działalność na własny rachunek, po opuszczeniu programu</w:t>
            </w:r>
          </w:p>
        </w:tc>
        <w:tc>
          <w:tcPr>
            <w:tcW w:w="547" w:type="pct"/>
            <w:shd w:val="clear" w:color="auto" w:fill="auto"/>
            <w:vAlign w:val="center"/>
          </w:tcPr>
          <w:p w14:paraId="488C84A8" w14:textId="3A0589BA" w:rsidR="00D53BB3" w:rsidRPr="00956EDE" w:rsidRDefault="00896049" w:rsidP="00E20AD5">
            <w:pPr>
              <w:spacing w:before="60" w:after="60"/>
              <w:jc w:val="center"/>
              <w:rPr>
                <w:rFonts w:ascii="Arial" w:hAnsi="Arial" w:cs="Arial"/>
                <w:iCs/>
                <w:sz w:val="24"/>
                <w:szCs w:val="24"/>
              </w:rPr>
            </w:pPr>
            <w:r w:rsidRPr="00956EDE">
              <w:rPr>
                <w:rFonts w:ascii="Arial" w:hAnsi="Arial" w:cs="Arial"/>
                <w:iCs/>
                <w:sz w:val="24"/>
                <w:szCs w:val="24"/>
              </w:rPr>
              <w:t>osob</w:t>
            </w:r>
            <w:r>
              <w:rPr>
                <w:rFonts w:ascii="Arial" w:hAnsi="Arial" w:cs="Arial"/>
                <w:iCs/>
                <w:sz w:val="24"/>
                <w:szCs w:val="24"/>
              </w:rPr>
              <w:t>y</w:t>
            </w:r>
          </w:p>
        </w:tc>
        <w:tc>
          <w:tcPr>
            <w:tcW w:w="704" w:type="pct"/>
            <w:shd w:val="clear" w:color="auto" w:fill="auto"/>
            <w:vAlign w:val="center"/>
          </w:tcPr>
          <w:p w14:paraId="51CA06DC" w14:textId="159F11DF" w:rsidR="00D53BB3" w:rsidRPr="00956EDE" w:rsidRDefault="00D53BB3" w:rsidP="00E20AD5">
            <w:pPr>
              <w:spacing w:before="60" w:after="60"/>
              <w:jc w:val="center"/>
              <w:rPr>
                <w:rFonts w:ascii="Arial" w:hAnsi="Arial" w:cs="Arial"/>
                <w:iCs/>
                <w:sz w:val="24"/>
                <w:szCs w:val="24"/>
              </w:rPr>
            </w:pPr>
            <w:r w:rsidRPr="00956EDE">
              <w:rPr>
                <w:rFonts w:ascii="Arial" w:hAnsi="Arial" w:cs="Arial"/>
                <w:sz w:val="24"/>
                <w:szCs w:val="24"/>
              </w:rPr>
              <w:t>wskaźnik rezultatu bezpośredniego</w:t>
            </w:r>
          </w:p>
        </w:tc>
        <w:tc>
          <w:tcPr>
            <w:tcW w:w="2421" w:type="pct"/>
            <w:shd w:val="clear" w:color="auto" w:fill="auto"/>
          </w:tcPr>
          <w:p w14:paraId="43122494" w14:textId="77777777" w:rsidR="00D53BB3" w:rsidRPr="00956EDE" w:rsidRDefault="00D53BB3" w:rsidP="00D53BB3">
            <w:pPr>
              <w:spacing w:before="120" w:after="120"/>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Do wskaźnika wlicza się osoby bezrobotne lub bierne zawodowo w momencie przystępowania do projektu, które po uzyskaniu wsparcia EFS+ podjęły zatrudnienie (łącznie z prowadzącymi działalność na własny rachunek) i pozostają zatrudnione bezpośrednio po opuszczeniu projektu, tj. do czterech tygodni od zakończenia udziału w projekcie.</w:t>
            </w:r>
          </w:p>
          <w:p w14:paraId="2A1210AB" w14:textId="77777777" w:rsidR="00D53BB3" w:rsidRPr="00956EDE" w:rsidRDefault="00D53BB3" w:rsidP="00D53BB3">
            <w:pPr>
              <w:spacing w:before="120" w:after="120"/>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Osoby bezrobotne definiowane są jak we wskaźniku: </w:t>
            </w:r>
            <w:r w:rsidRPr="00956EDE">
              <w:rPr>
                <w:rFonts w:ascii="Arial" w:eastAsia="Times New Roman" w:hAnsi="Arial" w:cs="Arial"/>
                <w:i/>
                <w:sz w:val="24"/>
                <w:szCs w:val="24"/>
                <w:lang w:eastAsia="pl-PL"/>
              </w:rPr>
              <w:t>liczba osób bezrobotnych, w tym długotrwale bezrobotnych, objętych wsparciem w programie (osoby)</w:t>
            </w:r>
            <w:r w:rsidRPr="00956EDE">
              <w:rPr>
                <w:rFonts w:ascii="Arial" w:eastAsia="Times New Roman" w:hAnsi="Arial" w:cs="Arial"/>
                <w:sz w:val="24"/>
                <w:szCs w:val="24"/>
                <w:lang w:eastAsia="pl-PL"/>
              </w:rPr>
              <w:t>.</w:t>
            </w:r>
          </w:p>
          <w:p w14:paraId="12162DDD" w14:textId="77777777" w:rsidR="00D53BB3" w:rsidRPr="00956EDE" w:rsidRDefault="00D53BB3" w:rsidP="00D53BB3">
            <w:pPr>
              <w:spacing w:before="120" w:after="120"/>
              <w:jc w:val="both"/>
              <w:rPr>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Osoby bierne zawodowo definiowane są jak we wskaźniku: </w:t>
            </w:r>
            <w:r w:rsidRPr="00956EDE">
              <w:rPr>
                <w:rFonts w:ascii="Arial" w:eastAsia="Times New Roman" w:hAnsi="Arial" w:cs="Arial"/>
                <w:i/>
                <w:sz w:val="24"/>
                <w:szCs w:val="24"/>
                <w:lang w:eastAsia="pl-PL"/>
              </w:rPr>
              <w:t>liczba osób biernych zawodowo objętych wsparciem w programie</w:t>
            </w:r>
            <w:r w:rsidRPr="00956EDE">
              <w:rPr>
                <w:rFonts w:ascii="Arial" w:eastAsia="Times New Roman" w:hAnsi="Arial" w:cs="Arial"/>
                <w:sz w:val="24"/>
                <w:szCs w:val="24"/>
                <w:lang w:eastAsia="pl-PL"/>
              </w:rPr>
              <w:t xml:space="preserve"> </w:t>
            </w:r>
            <w:r w:rsidRPr="00956EDE">
              <w:rPr>
                <w:rFonts w:ascii="Arial" w:eastAsia="Times New Roman" w:hAnsi="Arial" w:cs="Arial"/>
                <w:i/>
                <w:sz w:val="24"/>
                <w:szCs w:val="24"/>
                <w:lang w:eastAsia="pl-PL"/>
              </w:rPr>
              <w:t>(osoby)</w:t>
            </w:r>
            <w:r w:rsidRPr="00956EDE">
              <w:rPr>
                <w:rFonts w:ascii="Arial" w:eastAsia="Times New Roman" w:hAnsi="Arial" w:cs="Arial"/>
                <w:sz w:val="24"/>
                <w:szCs w:val="24"/>
                <w:lang w:eastAsia="pl-PL"/>
              </w:rPr>
              <w:t>.</w:t>
            </w:r>
          </w:p>
          <w:p w14:paraId="77EA4488" w14:textId="77777777" w:rsidR="00D53BB3" w:rsidRPr="00956EDE" w:rsidRDefault="00D53BB3" w:rsidP="00D53BB3">
            <w:pPr>
              <w:pStyle w:val="Akapitzlist"/>
              <w:spacing w:before="120" w:after="120"/>
              <w:ind w:left="0"/>
              <w:contextualSpacing w:val="0"/>
              <w:rPr>
                <w:rStyle w:val="Hipercze"/>
                <w:rFonts w:ascii="Arial" w:eastAsia="Times New Roman" w:hAnsi="Arial" w:cs="Arial"/>
                <w:sz w:val="24"/>
                <w:szCs w:val="24"/>
                <w:lang w:eastAsia="pl-PL"/>
              </w:rPr>
            </w:pPr>
            <w:r w:rsidRPr="00956EDE">
              <w:rPr>
                <w:rFonts w:ascii="Arial" w:eastAsia="Times New Roman" w:hAnsi="Arial" w:cs="Arial"/>
                <w:sz w:val="24"/>
                <w:szCs w:val="24"/>
                <w:lang w:eastAsia="pl-PL"/>
              </w:rPr>
              <w:t xml:space="preserve">Definicja pracujących, łącznie z prowadzącymi działalność na własny rachunek, jak we wskaźniku: </w:t>
            </w:r>
            <w:r w:rsidRPr="00956EDE">
              <w:rPr>
                <w:rFonts w:ascii="Arial" w:eastAsia="Times New Roman" w:hAnsi="Arial" w:cs="Arial"/>
                <w:i/>
                <w:sz w:val="24"/>
                <w:szCs w:val="24"/>
                <w:lang w:eastAsia="pl-PL"/>
              </w:rPr>
              <w:t xml:space="preserve">liczba osób pracujących, łącznie z prowadzącymi działalność na własny </w:t>
            </w:r>
            <w:r w:rsidRPr="00956EDE">
              <w:rPr>
                <w:rFonts w:ascii="Arial" w:eastAsia="Times New Roman" w:hAnsi="Arial" w:cs="Arial"/>
                <w:i/>
                <w:sz w:val="24"/>
                <w:szCs w:val="24"/>
                <w:lang w:eastAsia="pl-PL"/>
              </w:rPr>
              <w:lastRenderedPageBreak/>
              <w:t>rachunek, objętych wsparciem w programie</w:t>
            </w:r>
            <w:r w:rsidRPr="00956EDE">
              <w:rPr>
                <w:rFonts w:ascii="Arial" w:eastAsia="Times New Roman" w:hAnsi="Arial" w:cs="Arial"/>
                <w:sz w:val="24"/>
                <w:szCs w:val="24"/>
                <w:lang w:eastAsia="pl-PL"/>
              </w:rPr>
              <w:t xml:space="preserve"> </w:t>
            </w:r>
            <w:r w:rsidRPr="00956EDE">
              <w:rPr>
                <w:rFonts w:ascii="Arial" w:eastAsia="Times New Roman" w:hAnsi="Arial" w:cs="Arial"/>
                <w:i/>
                <w:sz w:val="24"/>
                <w:szCs w:val="24"/>
                <w:lang w:eastAsia="pl-PL"/>
              </w:rPr>
              <w:t>(osoby)</w:t>
            </w:r>
            <w:r w:rsidRPr="00956EDE">
              <w:rPr>
                <w:rFonts w:ascii="Arial" w:eastAsia="Times New Roman" w:hAnsi="Arial" w:cs="Arial"/>
                <w:sz w:val="24"/>
                <w:szCs w:val="24"/>
                <w:lang w:eastAsia="pl-PL"/>
              </w:rPr>
              <w:t>.</w:t>
            </w:r>
          </w:p>
          <w:p w14:paraId="71542005" w14:textId="77777777" w:rsidR="00D53BB3" w:rsidRPr="00956EDE" w:rsidRDefault="00D53BB3" w:rsidP="00D53BB3">
            <w:pPr>
              <w:pStyle w:val="Akapitzlist"/>
              <w:spacing w:before="120" w:after="120"/>
              <w:ind w:left="0"/>
              <w:rPr>
                <w:rFonts w:ascii="Arial" w:hAnsi="Arial" w:cs="Arial"/>
                <w:sz w:val="24"/>
                <w:szCs w:val="24"/>
              </w:rPr>
            </w:pPr>
            <w:r w:rsidRPr="00956EDE">
              <w:rPr>
                <w:rFonts w:ascii="Arial" w:hAnsi="Arial" w:cs="Arial"/>
                <w:sz w:val="24"/>
                <w:szCs w:val="24"/>
              </w:rPr>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4E75F9FE" w14:textId="435D6184" w:rsidR="00D53BB3" w:rsidRPr="00956EDE" w:rsidRDefault="00D53BB3" w:rsidP="00D53BB3">
            <w:pPr>
              <w:spacing w:after="160" w:line="259" w:lineRule="auto"/>
              <w:jc w:val="both"/>
              <w:rPr>
                <w:rFonts w:ascii="Arial" w:eastAsia="Times New Roman" w:hAnsi="Arial" w:cs="Arial"/>
                <w:iCs/>
                <w:sz w:val="24"/>
                <w:szCs w:val="24"/>
                <w:lang w:eastAsia="pl-PL"/>
              </w:rPr>
            </w:pPr>
            <w:r w:rsidRPr="00956EDE">
              <w:rPr>
                <w:rFonts w:ascii="Arial" w:hAnsi="Arial" w:cs="Arial"/>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D53BB3" w:rsidRPr="00236549" w14:paraId="5F430135" w14:textId="77777777" w:rsidTr="269357C5">
        <w:tc>
          <w:tcPr>
            <w:tcW w:w="390" w:type="pct"/>
            <w:shd w:val="clear" w:color="auto" w:fill="auto"/>
            <w:vAlign w:val="center"/>
          </w:tcPr>
          <w:p w14:paraId="3FC6CA9F" w14:textId="77777777" w:rsidR="00D53BB3" w:rsidRPr="00236549" w:rsidRDefault="00D53BB3" w:rsidP="00E20AD5">
            <w:pPr>
              <w:pStyle w:val="Akapitzlist"/>
              <w:numPr>
                <w:ilvl w:val="0"/>
                <w:numId w:val="40"/>
              </w:numPr>
              <w:tabs>
                <w:tab w:val="left" w:pos="344"/>
              </w:tabs>
              <w:rPr>
                <w:rFonts w:ascii="Arial" w:hAnsi="Arial" w:cs="Arial"/>
                <w:iCs/>
                <w:sz w:val="24"/>
                <w:szCs w:val="24"/>
              </w:rPr>
            </w:pPr>
          </w:p>
        </w:tc>
        <w:tc>
          <w:tcPr>
            <w:tcW w:w="938" w:type="pct"/>
            <w:shd w:val="clear" w:color="auto" w:fill="auto"/>
            <w:vAlign w:val="center"/>
          </w:tcPr>
          <w:p w14:paraId="48580436" w14:textId="1EE11C78" w:rsidR="00D53BB3" w:rsidRPr="00956EDE" w:rsidRDefault="00804523" w:rsidP="00E20AD5">
            <w:pPr>
              <w:spacing w:before="60" w:after="60"/>
              <w:rPr>
                <w:rFonts w:ascii="Arial" w:hAnsi="Arial" w:cs="Arial"/>
                <w:sz w:val="24"/>
                <w:szCs w:val="24"/>
              </w:rPr>
            </w:pPr>
            <w:r w:rsidRPr="00956EDE">
              <w:rPr>
                <w:rFonts w:ascii="Arial" w:hAnsi="Arial" w:cs="Arial"/>
                <w:sz w:val="24"/>
                <w:szCs w:val="24"/>
              </w:rPr>
              <w:t>Liczba osób, których sytuacja społeczna uległa poprawie po opuszczeniu programu</w:t>
            </w:r>
          </w:p>
        </w:tc>
        <w:tc>
          <w:tcPr>
            <w:tcW w:w="547" w:type="pct"/>
            <w:shd w:val="clear" w:color="auto" w:fill="auto"/>
            <w:vAlign w:val="center"/>
          </w:tcPr>
          <w:p w14:paraId="73A66C46" w14:textId="01817127" w:rsidR="00D53BB3" w:rsidRPr="00956EDE" w:rsidRDefault="00896049" w:rsidP="00E20AD5">
            <w:pPr>
              <w:spacing w:before="60" w:after="60"/>
              <w:jc w:val="center"/>
              <w:rPr>
                <w:rFonts w:ascii="Arial" w:hAnsi="Arial" w:cs="Arial"/>
                <w:iCs/>
                <w:sz w:val="24"/>
                <w:szCs w:val="24"/>
              </w:rPr>
            </w:pPr>
            <w:r w:rsidRPr="00956EDE">
              <w:rPr>
                <w:rFonts w:ascii="Arial" w:hAnsi="Arial" w:cs="Arial"/>
                <w:iCs/>
                <w:sz w:val="24"/>
                <w:szCs w:val="24"/>
              </w:rPr>
              <w:t>osob</w:t>
            </w:r>
            <w:r>
              <w:rPr>
                <w:rFonts w:ascii="Arial" w:hAnsi="Arial" w:cs="Arial"/>
                <w:iCs/>
                <w:sz w:val="24"/>
                <w:szCs w:val="24"/>
              </w:rPr>
              <w:t>y</w:t>
            </w:r>
          </w:p>
        </w:tc>
        <w:tc>
          <w:tcPr>
            <w:tcW w:w="704" w:type="pct"/>
            <w:shd w:val="clear" w:color="auto" w:fill="auto"/>
            <w:vAlign w:val="center"/>
          </w:tcPr>
          <w:p w14:paraId="52949F68" w14:textId="28FB90C4" w:rsidR="00D53BB3" w:rsidRPr="00956EDE" w:rsidRDefault="00804523" w:rsidP="00E20AD5">
            <w:pPr>
              <w:spacing w:before="60" w:after="60"/>
              <w:jc w:val="center"/>
              <w:rPr>
                <w:rFonts w:ascii="Arial" w:hAnsi="Arial" w:cs="Arial"/>
                <w:iCs/>
                <w:sz w:val="24"/>
                <w:szCs w:val="24"/>
              </w:rPr>
            </w:pPr>
            <w:r w:rsidRPr="00956EDE">
              <w:rPr>
                <w:rFonts w:ascii="Arial" w:hAnsi="Arial" w:cs="Arial"/>
                <w:sz w:val="24"/>
                <w:szCs w:val="24"/>
              </w:rPr>
              <w:t>wskaźnik rezultatu bezpośredniego</w:t>
            </w:r>
          </w:p>
        </w:tc>
        <w:tc>
          <w:tcPr>
            <w:tcW w:w="2421" w:type="pct"/>
            <w:shd w:val="clear" w:color="auto" w:fill="auto"/>
          </w:tcPr>
          <w:p w14:paraId="13B8F22A" w14:textId="77777777" w:rsidR="00804523" w:rsidRPr="00956EDE" w:rsidRDefault="00804523" w:rsidP="00804523">
            <w:pPr>
              <w:pStyle w:val="Akapitzlist"/>
              <w:spacing w:after="120"/>
              <w:ind w:left="0"/>
              <w:contextualSpacing w:val="0"/>
              <w:rPr>
                <w:rFonts w:ascii="Arial" w:hAnsi="Arial" w:cs="Arial"/>
                <w:sz w:val="24"/>
                <w:szCs w:val="24"/>
              </w:rPr>
            </w:pPr>
            <w:r w:rsidRPr="00956EDE">
              <w:rPr>
                <w:rFonts w:ascii="Arial" w:hAnsi="Arial" w:cs="Arial"/>
                <w:sz w:val="24"/>
                <w:szCs w:val="24"/>
              </w:rPr>
              <w:t>Wskaźnik mierzony do czterech tygodni od zakończenia udziału w projekcie.</w:t>
            </w:r>
          </w:p>
          <w:p w14:paraId="392EE4C3" w14:textId="77777777" w:rsidR="00804523" w:rsidRPr="00956EDE" w:rsidRDefault="00804523" w:rsidP="00804523">
            <w:pPr>
              <w:pStyle w:val="Akapitzlist"/>
              <w:spacing w:after="120"/>
              <w:ind w:left="0"/>
              <w:contextualSpacing w:val="0"/>
              <w:rPr>
                <w:rFonts w:ascii="Arial" w:hAnsi="Arial" w:cs="Arial"/>
                <w:sz w:val="24"/>
                <w:szCs w:val="24"/>
              </w:rPr>
            </w:pPr>
            <w:r w:rsidRPr="00956EDE">
              <w:rPr>
                <w:rFonts w:ascii="Arial" w:hAnsi="Arial" w:cs="Arial"/>
                <w:sz w:val="24"/>
                <w:szCs w:val="24"/>
              </w:rPr>
              <w:t>Wskaźnik odnosi się do pomiaru spełnienia kryterium efektywności społecznej. Poprawa sytuacji społecznej oznacza osiągnięcie min. 1 z poniższych efektów:</w:t>
            </w:r>
          </w:p>
          <w:p w14:paraId="570AECD2" w14:textId="77777777" w:rsidR="00804523" w:rsidRPr="00956EDE" w:rsidRDefault="00804523" w:rsidP="00804523">
            <w:pPr>
              <w:pStyle w:val="Akapitzlist"/>
              <w:spacing w:after="120"/>
              <w:ind w:left="0"/>
              <w:rPr>
                <w:rFonts w:ascii="Arial" w:hAnsi="Arial" w:cs="Arial"/>
                <w:sz w:val="24"/>
                <w:szCs w:val="24"/>
              </w:rPr>
            </w:pPr>
            <w:r w:rsidRPr="00956EDE">
              <w:rPr>
                <w:rFonts w:ascii="Arial" w:hAnsi="Arial" w:cs="Arial"/>
                <w:sz w:val="24"/>
                <w:szCs w:val="24"/>
              </w:rPr>
              <w:t xml:space="preserve">a) rozpoczęcie nauki; </w:t>
            </w:r>
          </w:p>
          <w:p w14:paraId="592C2847" w14:textId="77777777" w:rsidR="00804523" w:rsidRPr="00956EDE" w:rsidRDefault="00804523" w:rsidP="00804523">
            <w:pPr>
              <w:pStyle w:val="Akapitzlist"/>
              <w:spacing w:after="120"/>
              <w:ind w:left="0"/>
              <w:rPr>
                <w:rFonts w:ascii="Arial" w:hAnsi="Arial" w:cs="Arial"/>
                <w:sz w:val="24"/>
                <w:szCs w:val="24"/>
              </w:rPr>
            </w:pPr>
            <w:r w:rsidRPr="00956EDE">
              <w:rPr>
                <w:rFonts w:ascii="Arial" w:hAnsi="Arial" w:cs="Arial"/>
                <w:sz w:val="24"/>
                <w:szCs w:val="24"/>
              </w:rPr>
              <w:t>b) wzmocnienie motywacji do pracy po projekcie;</w:t>
            </w:r>
          </w:p>
          <w:p w14:paraId="0E120C87" w14:textId="77777777" w:rsidR="00804523" w:rsidRPr="00956EDE" w:rsidRDefault="00804523" w:rsidP="00804523">
            <w:pPr>
              <w:pStyle w:val="Akapitzlist"/>
              <w:spacing w:after="120"/>
              <w:ind w:left="0"/>
              <w:rPr>
                <w:rFonts w:ascii="Arial" w:hAnsi="Arial" w:cs="Arial"/>
                <w:sz w:val="24"/>
                <w:szCs w:val="24"/>
              </w:rPr>
            </w:pPr>
            <w:r w:rsidRPr="00956EDE">
              <w:rPr>
                <w:rFonts w:ascii="Arial" w:hAnsi="Arial" w:cs="Arial"/>
                <w:sz w:val="24"/>
                <w:szCs w:val="24"/>
              </w:rPr>
              <w:t>c) zwiększenie pewności siebie i własnych umiejętności;</w:t>
            </w:r>
          </w:p>
          <w:p w14:paraId="65775DA0" w14:textId="77777777" w:rsidR="00804523" w:rsidRPr="00956EDE" w:rsidRDefault="00804523" w:rsidP="00804523">
            <w:pPr>
              <w:pStyle w:val="Akapitzlist"/>
              <w:spacing w:after="120"/>
              <w:ind w:left="0"/>
              <w:rPr>
                <w:rFonts w:ascii="Arial" w:hAnsi="Arial" w:cs="Arial"/>
                <w:sz w:val="24"/>
                <w:szCs w:val="24"/>
              </w:rPr>
            </w:pPr>
            <w:r w:rsidRPr="00956EDE">
              <w:rPr>
                <w:rFonts w:ascii="Arial" w:hAnsi="Arial" w:cs="Arial"/>
                <w:sz w:val="24"/>
                <w:szCs w:val="24"/>
              </w:rPr>
              <w:t>d) poprawa umiejętności rozwiązywania pojawiających się problemów;</w:t>
            </w:r>
          </w:p>
          <w:p w14:paraId="2F4FA103" w14:textId="77777777" w:rsidR="00804523" w:rsidRPr="00956EDE" w:rsidRDefault="00804523" w:rsidP="00804523">
            <w:pPr>
              <w:pStyle w:val="Akapitzlist"/>
              <w:spacing w:after="120"/>
              <w:ind w:left="0"/>
              <w:rPr>
                <w:rFonts w:ascii="Arial" w:hAnsi="Arial" w:cs="Arial"/>
                <w:sz w:val="24"/>
                <w:szCs w:val="24"/>
              </w:rPr>
            </w:pPr>
            <w:r w:rsidRPr="00956EDE">
              <w:rPr>
                <w:rFonts w:ascii="Arial" w:hAnsi="Arial" w:cs="Arial"/>
                <w:sz w:val="24"/>
                <w:szCs w:val="24"/>
              </w:rPr>
              <w:t xml:space="preserve">e) podjęcie wolontariatu; </w:t>
            </w:r>
          </w:p>
          <w:p w14:paraId="1CE0BA6C" w14:textId="77777777" w:rsidR="00804523" w:rsidRPr="00956EDE" w:rsidRDefault="00804523" w:rsidP="00804523">
            <w:pPr>
              <w:pStyle w:val="Akapitzlist"/>
              <w:spacing w:after="120"/>
              <w:ind w:left="0"/>
              <w:rPr>
                <w:rFonts w:ascii="Arial" w:hAnsi="Arial" w:cs="Arial"/>
                <w:sz w:val="24"/>
                <w:szCs w:val="24"/>
              </w:rPr>
            </w:pPr>
            <w:r w:rsidRPr="00956EDE">
              <w:rPr>
                <w:rFonts w:ascii="Arial" w:hAnsi="Arial" w:cs="Arial"/>
                <w:sz w:val="24"/>
                <w:szCs w:val="24"/>
              </w:rPr>
              <w:t>f) poprawa stanu zdrowia;</w:t>
            </w:r>
          </w:p>
          <w:p w14:paraId="745C7BE6" w14:textId="77777777" w:rsidR="00804523" w:rsidRPr="00956EDE" w:rsidRDefault="00804523" w:rsidP="00804523">
            <w:pPr>
              <w:pStyle w:val="Akapitzlist"/>
              <w:spacing w:after="120"/>
              <w:ind w:left="0"/>
              <w:rPr>
                <w:rFonts w:ascii="Arial" w:hAnsi="Arial" w:cs="Arial"/>
                <w:sz w:val="24"/>
                <w:szCs w:val="24"/>
              </w:rPr>
            </w:pPr>
            <w:r w:rsidRPr="00956EDE">
              <w:rPr>
                <w:rFonts w:ascii="Arial" w:hAnsi="Arial" w:cs="Arial"/>
                <w:sz w:val="24"/>
                <w:szCs w:val="24"/>
              </w:rPr>
              <w:t>g) ograniczenie nałogów;</w:t>
            </w:r>
          </w:p>
          <w:p w14:paraId="4F358A4A" w14:textId="77777777" w:rsidR="00D53BB3" w:rsidRDefault="00804523" w:rsidP="00A3080F">
            <w:pPr>
              <w:pStyle w:val="Akapitzlist"/>
              <w:spacing w:after="120"/>
              <w:ind w:left="0"/>
              <w:contextualSpacing w:val="0"/>
              <w:rPr>
                <w:rFonts w:ascii="Arial" w:hAnsi="Arial" w:cs="Arial"/>
                <w:sz w:val="24"/>
                <w:szCs w:val="24"/>
              </w:rPr>
            </w:pPr>
            <w:r w:rsidRPr="00956EDE">
              <w:rPr>
                <w:rFonts w:ascii="Arial" w:hAnsi="Arial" w:cs="Arial"/>
                <w:sz w:val="24"/>
                <w:szCs w:val="24"/>
              </w:rPr>
              <w:lastRenderedPageBreak/>
              <w:t>h) doświadczenie widocznej poprawy w funkcjonowaniu (w przypadku osób z niepełnosprawnościami).</w:t>
            </w:r>
          </w:p>
          <w:p w14:paraId="2AB43ADD" w14:textId="47690F5C" w:rsidR="002E5528" w:rsidRPr="00A3080F" w:rsidRDefault="002E5528" w:rsidP="00A3080F">
            <w:pPr>
              <w:pStyle w:val="Akapitzlist"/>
              <w:spacing w:after="120"/>
              <w:ind w:left="0"/>
              <w:contextualSpacing w:val="0"/>
              <w:rPr>
                <w:rFonts w:ascii="Arial" w:hAnsi="Arial" w:cs="Arial"/>
                <w:sz w:val="24"/>
                <w:szCs w:val="24"/>
              </w:rPr>
            </w:pPr>
            <w:r w:rsidRPr="002E5528">
              <w:rPr>
                <w:rFonts w:ascii="Arial" w:hAnsi="Arial" w:cs="Arial"/>
                <w:sz w:val="24"/>
                <w:szCs w:val="24"/>
              </w:rPr>
              <w:t>Wskaźnik ten odnosi się do następujących wskaźników produktu: EECO02+04 Liczba osób niezatrudnionych objętych wsparciem w programie, EECO02 Liczba osób bezrobotnych, w tym długotrwale bezrobotnych, objętych wsparciem w programie, EECO04 Liczba osób biernych zawodowo objętych wsparciem w programie.</w:t>
            </w:r>
          </w:p>
        </w:tc>
      </w:tr>
    </w:tbl>
    <w:p w14:paraId="5A308255" w14:textId="3B6B748B" w:rsidR="00E14171" w:rsidRPr="00236549" w:rsidRDefault="00E14171" w:rsidP="00E1027E">
      <w:pPr>
        <w:spacing w:before="240" w:after="0"/>
        <w:rPr>
          <w:rFonts w:ascii="Arial" w:hAnsi="Arial" w:cs="Arial"/>
          <w:iCs/>
          <w:sz w:val="24"/>
          <w:szCs w:val="24"/>
        </w:rPr>
      </w:pPr>
      <w:r w:rsidRPr="00236549">
        <w:rPr>
          <w:rFonts w:ascii="Arial" w:hAnsi="Arial" w:cs="Arial"/>
          <w:iCs/>
          <w:sz w:val="24"/>
          <w:szCs w:val="24"/>
        </w:rPr>
        <w:lastRenderedPageBreak/>
        <w:t>Dodatkowo, wnioskodawca zobowiązany jest wskazać we wniosku o dofinansowanie projektu na etapie aplikowania</w:t>
      </w:r>
      <w:r w:rsidR="00E20AD5">
        <w:rPr>
          <w:rFonts w:ascii="Arial" w:hAnsi="Arial" w:cs="Arial"/>
          <w:iCs/>
          <w:sz w:val="24"/>
          <w:szCs w:val="24"/>
        </w:rPr>
        <w:t xml:space="preserve"> </w:t>
      </w:r>
      <w:r w:rsidR="00E20AD5" w:rsidRPr="00E20AD5">
        <w:rPr>
          <w:rFonts w:ascii="Arial" w:hAnsi="Arial" w:cs="Arial"/>
          <w:iCs/>
          <w:sz w:val="24"/>
          <w:szCs w:val="24"/>
        </w:rPr>
        <w:t>(wraz ze wskazaniem sposobu pomiaru i źródła pomiaru wskaźnika)</w:t>
      </w:r>
      <w:r w:rsidRPr="00236549">
        <w:rPr>
          <w:rFonts w:ascii="Arial" w:hAnsi="Arial" w:cs="Arial"/>
          <w:iCs/>
          <w:sz w:val="24"/>
          <w:szCs w:val="24"/>
        </w:rPr>
        <w:t xml:space="preserve">, a następnie monitorować </w:t>
      </w:r>
      <w:bookmarkStart w:id="0" w:name="_Hlk129251206"/>
      <w:r w:rsidR="00E36DA8" w:rsidRPr="00236549">
        <w:rPr>
          <w:rFonts w:ascii="Arial" w:hAnsi="Arial" w:cs="Arial"/>
          <w:iCs/>
          <w:sz w:val="24"/>
          <w:szCs w:val="24"/>
        </w:rPr>
        <w:t xml:space="preserve">na podstawie składanych wniosków o płatność </w:t>
      </w:r>
      <w:bookmarkEnd w:id="0"/>
      <w:r w:rsidRPr="00236549">
        <w:rPr>
          <w:rFonts w:ascii="Arial" w:hAnsi="Arial" w:cs="Arial"/>
          <w:iCs/>
          <w:sz w:val="24"/>
          <w:szCs w:val="24"/>
        </w:rPr>
        <w:t xml:space="preserve">(zgodnie z Wytycznymi dotyczącymi monitorowania postępu rzeczowego realizacji programów operacyjnych na lata 2021-2027) na etapie realizacji projektu wszystkie wymienione poniżej wskaźniki kluczowe określone dla wszystkich celów szczegółowych tj. </w:t>
      </w:r>
    </w:p>
    <w:p w14:paraId="6B275CC1" w14:textId="77777777" w:rsidR="00C35170" w:rsidRPr="00236549" w:rsidRDefault="00C35170" w:rsidP="00C35170">
      <w:pPr>
        <w:pStyle w:val="Akapitzlist"/>
        <w:numPr>
          <w:ilvl w:val="0"/>
          <w:numId w:val="20"/>
        </w:numPr>
        <w:spacing w:after="0"/>
        <w:ind w:left="447"/>
        <w:rPr>
          <w:rFonts w:ascii="Arial" w:hAnsi="Arial" w:cs="Arial"/>
          <w:iCs/>
          <w:sz w:val="24"/>
          <w:szCs w:val="24"/>
        </w:rPr>
      </w:pPr>
      <w:r w:rsidRPr="00236549">
        <w:rPr>
          <w:rFonts w:ascii="Arial" w:hAnsi="Arial" w:cs="Arial"/>
          <w:iCs/>
          <w:sz w:val="24"/>
          <w:szCs w:val="24"/>
        </w:rPr>
        <w:t>Liczba projektów, w których sfinansowano koszty racjonalnych usprawnień dla osób z niepełnosprawnościami;</w:t>
      </w:r>
    </w:p>
    <w:p w14:paraId="1204E10E" w14:textId="77777777" w:rsidR="00E14171" w:rsidRPr="00236549" w:rsidRDefault="00E14171" w:rsidP="00522D7A">
      <w:pPr>
        <w:pStyle w:val="Akapitzlist"/>
        <w:numPr>
          <w:ilvl w:val="0"/>
          <w:numId w:val="20"/>
        </w:numPr>
        <w:spacing w:after="0"/>
        <w:ind w:left="447"/>
        <w:rPr>
          <w:rFonts w:ascii="Arial" w:hAnsi="Arial" w:cs="Arial"/>
          <w:iCs/>
          <w:sz w:val="24"/>
          <w:szCs w:val="24"/>
        </w:rPr>
      </w:pPr>
      <w:r w:rsidRPr="00236549">
        <w:rPr>
          <w:rFonts w:ascii="Arial" w:hAnsi="Arial" w:cs="Arial"/>
          <w:iCs/>
          <w:sz w:val="24"/>
          <w:szCs w:val="24"/>
        </w:rPr>
        <w:t>Liczba obiektów dostosowanych do potrzeb osób z niepełnosprawnościami;</w:t>
      </w:r>
    </w:p>
    <w:p w14:paraId="69F95B65" w14:textId="77777777" w:rsidR="00E14171" w:rsidRPr="00236549" w:rsidRDefault="00E14171" w:rsidP="00522D7A">
      <w:pPr>
        <w:spacing w:after="0"/>
        <w:rPr>
          <w:rFonts w:ascii="Arial" w:hAnsi="Arial" w:cs="Arial"/>
          <w:iCs/>
          <w:sz w:val="24"/>
          <w:szCs w:val="24"/>
        </w:rPr>
      </w:pPr>
      <w:r w:rsidRPr="00236549">
        <w:rPr>
          <w:rFonts w:ascii="Arial" w:hAnsi="Arial" w:cs="Arial"/>
          <w:iCs/>
          <w:sz w:val="24"/>
          <w:szCs w:val="24"/>
        </w:rPr>
        <w:t>inne wspólne wskaźniki produktu tj.</w:t>
      </w:r>
    </w:p>
    <w:p w14:paraId="1E34235C" w14:textId="77777777" w:rsidR="00E14171" w:rsidRPr="00236549" w:rsidRDefault="00E14171" w:rsidP="00522D7A">
      <w:pPr>
        <w:pStyle w:val="Akapitzlist"/>
        <w:numPr>
          <w:ilvl w:val="0"/>
          <w:numId w:val="19"/>
        </w:numPr>
        <w:spacing w:after="0"/>
        <w:ind w:left="447"/>
        <w:rPr>
          <w:rFonts w:ascii="Arial" w:hAnsi="Arial" w:cs="Arial"/>
          <w:iCs/>
          <w:sz w:val="24"/>
          <w:szCs w:val="24"/>
        </w:rPr>
      </w:pPr>
      <w:r w:rsidRPr="00236549">
        <w:rPr>
          <w:rFonts w:ascii="Arial" w:hAnsi="Arial" w:cs="Arial"/>
          <w:iCs/>
          <w:sz w:val="24"/>
          <w:szCs w:val="24"/>
        </w:rPr>
        <w:t>Liczba osób z niepełnosprawnościami objętych wsparciem w programie;</w:t>
      </w:r>
    </w:p>
    <w:p w14:paraId="513D48F4" w14:textId="77777777" w:rsidR="00E14171" w:rsidRPr="00236549" w:rsidRDefault="00E14171" w:rsidP="00522D7A">
      <w:pPr>
        <w:pStyle w:val="Akapitzlist"/>
        <w:numPr>
          <w:ilvl w:val="0"/>
          <w:numId w:val="19"/>
        </w:numPr>
        <w:spacing w:after="0"/>
        <w:ind w:left="447"/>
        <w:rPr>
          <w:rFonts w:ascii="Arial" w:hAnsi="Arial" w:cs="Arial"/>
          <w:iCs/>
          <w:sz w:val="24"/>
          <w:szCs w:val="24"/>
        </w:rPr>
      </w:pPr>
      <w:r w:rsidRPr="00236549">
        <w:rPr>
          <w:rFonts w:ascii="Arial" w:hAnsi="Arial" w:cs="Arial"/>
          <w:iCs/>
          <w:sz w:val="24"/>
          <w:szCs w:val="24"/>
        </w:rPr>
        <w:t>Liczba osób z krajów trzecich objętych wsparciem w programie;</w:t>
      </w:r>
    </w:p>
    <w:p w14:paraId="37248BE3" w14:textId="77777777" w:rsidR="00E14171" w:rsidRPr="00236549" w:rsidRDefault="00E14171" w:rsidP="00522D7A">
      <w:pPr>
        <w:pStyle w:val="Akapitzlist"/>
        <w:numPr>
          <w:ilvl w:val="0"/>
          <w:numId w:val="19"/>
        </w:numPr>
        <w:spacing w:after="0"/>
        <w:ind w:left="447"/>
        <w:rPr>
          <w:rFonts w:ascii="Arial" w:hAnsi="Arial" w:cs="Arial"/>
          <w:iCs/>
          <w:sz w:val="24"/>
          <w:szCs w:val="24"/>
        </w:rPr>
      </w:pPr>
      <w:r w:rsidRPr="00236549">
        <w:rPr>
          <w:rFonts w:ascii="Arial" w:hAnsi="Arial" w:cs="Arial"/>
          <w:iCs/>
          <w:sz w:val="24"/>
          <w:szCs w:val="24"/>
        </w:rPr>
        <w:t>Liczba osób obcego pochodzenia objętych wsparciem w programie;</w:t>
      </w:r>
    </w:p>
    <w:p w14:paraId="101755BD" w14:textId="77777777" w:rsidR="00E14171" w:rsidRPr="00236549" w:rsidRDefault="00E14171" w:rsidP="00522D7A">
      <w:pPr>
        <w:pStyle w:val="Akapitzlist"/>
        <w:numPr>
          <w:ilvl w:val="0"/>
          <w:numId w:val="19"/>
        </w:numPr>
        <w:spacing w:after="0"/>
        <w:ind w:left="447"/>
        <w:rPr>
          <w:rFonts w:ascii="Arial" w:hAnsi="Arial" w:cs="Arial"/>
          <w:iCs/>
          <w:sz w:val="24"/>
          <w:szCs w:val="24"/>
        </w:rPr>
      </w:pPr>
      <w:r w:rsidRPr="00236549">
        <w:rPr>
          <w:rFonts w:ascii="Arial" w:hAnsi="Arial" w:cs="Arial"/>
          <w:iCs/>
          <w:sz w:val="24"/>
          <w:szCs w:val="24"/>
        </w:rPr>
        <w:t>Liczba osób należących do mniejszości, w tym społeczności marginalizowanych takich jak Romowie, objętych wsparciem w programie;</w:t>
      </w:r>
    </w:p>
    <w:p w14:paraId="6A40F811" w14:textId="77777777" w:rsidR="00E14171" w:rsidRPr="00236549" w:rsidRDefault="00E14171" w:rsidP="00522D7A">
      <w:pPr>
        <w:pStyle w:val="Akapitzlist"/>
        <w:numPr>
          <w:ilvl w:val="0"/>
          <w:numId w:val="19"/>
        </w:numPr>
        <w:spacing w:after="0"/>
        <w:ind w:left="447"/>
        <w:rPr>
          <w:rFonts w:ascii="Arial" w:hAnsi="Arial" w:cs="Arial"/>
          <w:iCs/>
          <w:sz w:val="24"/>
          <w:szCs w:val="24"/>
        </w:rPr>
      </w:pPr>
      <w:r w:rsidRPr="00236549">
        <w:rPr>
          <w:rFonts w:ascii="Arial" w:hAnsi="Arial" w:cs="Arial"/>
          <w:iCs/>
          <w:sz w:val="24"/>
          <w:szCs w:val="24"/>
        </w:rPr>
        <w:t>Liczba osób w kryzysie bezdomności lub dotkniętych wykluczeniem z dostępu do mieszkań, objętych wsparciem w programie;</w:t>
      </w:r>
    </w:p>
    <w:p w14:paraId="59799E28" w14:textId="77777777" w:rsidR="00E14171" w:rsidRPr="00236549" w:rsidRDefault="00E14171" w:rsidP="00522D7A">
      <w:pPr>
        <w:spacing w:after="0"/>
        <w:rPr>
          <w:rFonts w:ascii="Arial" w:hAnsi="Arial" w:cs="Arial"/>
          <w:iCs/>
          <w:sz w:val="24"/>
          <w:szCs w:val="24"/>
        </w:rPr>
      </w:pPr>
      <w:r w:rsidRPr="00236549">
        <w:rPr>
          <w:rFonts w:ascii="Arial" w:hAnsi="Arial" w:cs="Arial"/>
          <w:iCs/>
          <w:sz w:val="24"/>
          <w:szCs w:val="24"/>
        </w:rPr>
        <w:t>oraz wspólne wskaźniki produktu dotyczące podmiotów tj.</w:t>
      </w:r>
    </w:p>
    <w:p w14:paraId="29B559A5" w14:textId="77777777" w:rsidR="00E14171" w:rsidRPr="00236549" w:rsidRDefault="00E14171" w:rsidP="00522D7A">
      <w:pPr>
        <w:pStyle w:val="Akapitzlist"/>
        <w:numPr>
          <w:ilvl w:val="0"/>
          <w:numId w:val="21"/>
        </w:numPr>
        <w:spacing w:after="0"/>
        <w:ind w:left="447"/>
        <w:rPr>
          <w:rFonts w:ascii="Arial" w:hAnsi="Arial" w:cs="Arial"/>
          <w:iCs/>
          <w:sz w:val="24"/>
          <w:szCs w:val="24"/>
        </w:rPr>
      </w:pPr>
      <w:r w:rsidRPr="00236549">
        <w:rPr>
          <w:rFonts w:ascii="Arial" w:hAnsi="Arial" w:cs="Arial"/>
          <w:iCs/>
          <w:sz w:val="24"/>
          <w:szCs w:val="24"/>
        </w:rPr>
        <w:t>Liczba objętych wsparciem podmiotów administracji publicznej lub służb publicznych na szczeblu krajowym, regionalnym lub lokalnym;</w:t>
      </w:r>
    </w:p>
    <w:p w14:paraId="2D3CE51C" w14:textId="77777777" w:rsidR="00E14171" w:rsidRPr="00236549" w:rsidRDefault="00E14171" w:rsidP="00522D7A">
      <w:pPr>
        <w:pStyle w:val="Akapitzlist"/>
        <w:numPr>
          <w:ilvl w:val="0"/>
          <w:numId w:val="21"/>
        </w:numPr>
        <w:spacing w:after="0"/>
        <w:ind w:left="447"/>
        <w:rPr>
          <w:rFonts w:ascii="Arial" w:hAnsi="Arial" w:cs="Arial"/>
          <w:iCs/>
          <w:sz w:val="24"/>
          <w:szCs w:val="24"/>
        </w:rPr>
      </w:pPr>
      <w:r w:rsidRPr="00236549">
        <w:rPr>
          <w:rFonts w:ascii="Arial" w:hAnsi="Arial" w:cs="Arial"/>
          <w:iCs/>
          <w:sz w:val="24"/>
          <w:szCs w:val="24"/>
        </w:rPr>
        <w:t>Liczba objętych wsparciem mikro-, małych i średnich przedsiębiorstw (w tym spółdzielni i przedsiębiorstw społecznych).</w:t>
      </w:r>
    </w:p>
    <w:p w14:paraId="056FA43E" w14:textId="0BEECE8D" w:rsidR="00196A86" w:rsidRDefault="00E14171" w:rsidP="006B7012">
      <w:pPr>
        <w:spacing w:after="120"/>
        <w:rPr>
          <w:rFonts w:ascii="Arial" w:hAnsi="Arial" w:cs="Arial"/>
          <w:iCs/>
          <w:sz w:val="24"/>
          <w:szCs w:val="24"/>
        </w:rPr>
      </w:pPr>
      <w:r w:rsidRPr="00236549">
        <w:rPr>
          <w:rFonts w:ascii="Arial" w:hAnsi="Arial" w:cs="Arial"/>
          <w:iCs/>
          <w:sz w:val="24"/>
          <w:szCs w:val="24"/>
        </w:rPr>
        <w:t>Wartość docelowa powyższych wskaźników może wynosić 0, co nie zwalnia z obowiązku ich monitorowania.</w:t>
      </w:r>
      <w:r w:rsidR="00BF08E1">
        <w:rPr>
          <w:rFonts w:ascii="Arial" w:hAnsi="Arial" w:cs="Arial"/>
          <w:iCs/>
          <w:sz w:val="24"/>
          <w:szCs w:val="24"/>
        </w:rPr>
        <w:t xml:space="preserve"> Dlatego też </w:t>
      </w:r>
      <w:r w:rsidR="00181753">
        <w:rPr>
          <w:rFonts w:ascii="Arial" w:hAnsi="Arial" w:cs="Arial"/>
          <w:iCs/>
          <w:sz w:val="24"/>
          <w:szCs w:val="24"/>
        </w:rPr>
        <w:t xml:space="preserve">należy wskazać </w:t>
      </w:r>
      <w:r w:rsidR="00485D27">
        <w:rPr>
          <w:rFonts w:ascii="Arial" w:hAnsi="Arial" w:cs="Arial"/>
          <w:iCs/>
          <w:sz w:val="24"/>
          <w:szCs w:val="24"/>
        </w:rPr>
        <w:t xml:space="preserve">sposób pomiaru wskaźnika i moment jego pomiaru. </w:t>
      </w:r>
    </w:p>
    <w:p w14:paraId="07B3EC85" w14:textId="3F0E396B" w:rsidR="00960B5A" w:rsidRPr="00960B5A" w:rsidRDefault="00960B5A" w:rsidP="00960B5A">
      <w:pPr>
        <w:spacing w:after="240"/>
        <w:rPr>
          <w:rFonts w:ascii="Arial" w:hAnsi="Arial" w:cs="Arial"/>
          <w:iCs/>
          <w:sz w:val="24"/>
          <w:szCs w:val="24"/>
        </w:rPr>
      </w:pPr>
      <w:r w:rsidRPr="00960B5A">
        <w:rPr>
          <w:rStyle w:val="normaltextrun"/>
          <w:rFonts w:ascii="Arial" w:hAnsi="Arial" w:cs="Arial"/>
          <w:sz w:val="24"/>
          <w:szCs w:val="24"/>
          <w:shd w:val="clear" w:color="auto" w:fill="FFFFFF"/>
        </w:rPr>
        <w:lastRenderedPageBreak/>
        <w:t>W przypadku innych wspólnych wskaźników produktu IZ zobowiązuje Beneficjentów do zbierania danych osobowych dot</w:t>
      </w:r>
      <w:r w:rsidR="00E814A1">
        <w:rPr>
          <w:rStyle w:val="normaltextrun"/>
          <w:rFonts w:ascii="Arial" w:hAnsi="Arial" w:cs="Arial"/>
          <w:sz w:val="24"/>
          <w:szCs w:val="24"/>
          <w:shd w:val="clear" w:color="auto" w:fill="FFFFFF"/>
        </w:rPr>
        <w:t>yczących</w:t>
      </w:r>
      <w:r w:rsidRPr="00960B5A">
        <w:rPr>
          <w:rStyle w:val="normaltextrun"/>
          <w:rFonts w:ascii="Arial" w:hAnsi="Arial" w:cs="Arial"/>
          <w:sz w:val="24"/>
          <w:szCs w:val="24"/>
          <w:shd w:val="clear" w:color="auto" w:fill="FFFFFF"/>
        </w:rPr>
        <w:t xml:space="preserve"> wskaźników, nie ma możliwości wykorzystywania szacunków. </w:t>
      </w:r>
      <w:r w:rsidRPr="00960B5A">
        <w:rPr>
          <w:rStyle w:val="eop"/>
          <w:rFonts w:ascii="Arial" w:hAnsi="Arial" w:cs="Arial"/>
          <w:sz w:val="24"/>
          <w:szCs w:val="24"/>
          <w:shd w:val="clear" w:color="auto" w:fill="FFFFFF"/>
        </w:rPr>
        <w:t> </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45"/>
        <w:gridCol w:w="1542"/>
        <w:gridCol w:w="1557"/>
        <w:gridCol w:w="3127"/>
      </w:tblGrid>
      <w:tr w:rsidR="00E11C4A" w:rsidRPr="00236549" w14:paraId="7C0E0BDF" w14:textId="77777777" w:rsidTr="007E2F96">
        <w:trPr>
          <w:tblHeader/>
        </w:trPr>
        <w:tc>
          <w:tcPr>
            <w:tcW w:w="387" w:type="pct"/>
            <w:shd w:val="clear" w:color="auto" w:fill="auto"/>
            <w:vAlign w:val="center"/>
          </w:tcPr>
          <w:p w14:paraId="62458D0D" w14:textId="11E9480D" w:rsidR="00E11C4A" w:rsidRPr="00236549" w:rsidRDefault="00E11C4A" w:rsidP="00E11C4A">
            <w:pPr>
              <w:pStyle w:val="Akapitzlist"/>
              <w:tabs>
                <w:tab w:val="left" w:pos="360"/>
              </w:tabs>
              <w:spacing w:before="120" w:after="120"/>
              <w:ind w:left="0"/>
              <w:rPr>
                <w:rFonts w:ascii="Arial" w:hAnsi="Arial" w:cs="Arial"/>
                <w:iCs/>
                <w:sz w:val="24"/>
                <w:szCs w:val="24"/>
              </w:rPr>
            </w:pPr>
            <w:r w:rsidRPr="00236549">
              <w:rPr>
                <w:rFonts w:ascii="Arial" w:hAnsi="Arial" w:cs="Arial"/>
                <w:b/>
                <w:iCs/>
                <w:sz w:val="24"/>
                <w:szCs w:val="24"/>
              </w:rPr>
              <w:t>Lp.</w:t>
            </w:r>
          </w:p>
        </w:tc>
        <w:tc>
          <w:tcPr>
            <w:tcW w:w="1182" w:type="pct"/>
            <w:shd w:val="clear" w:color="auto" w:fill="auto"/>
            <w:vAlign w:val="center"/>
          </w:tcPr>
          <w:p w14:paraId="214122B6" w14:textId="3D7DCAD4" w:rsidR="00E11C4A" w:rsidRPr="00236549" w:rsidRDefault="00E11C4A" w:rsidP="00E11C4A">
            <w:pPr>
              <w:spacing w:before="120" w:after="120"/>
              <w:jc w:val="center"/>
              <w:rPr>
                <w:rFonts w:ascii="Arial" w:hAnsi="Arial" w:cs="Arial"/>
                <w:iCs/>
                <w:sz w:val="24"/>
                <w:szCs w:val="24"/>
                <w:lang w:eastAsia="pl-PL"/>
              </w:rPr>
            </w:pPr>
            <w:r w:rsidRPr="00236549">
              <w:rPr>
                <w:rFonts w:ascii="Arial" w:hAnsi="Arial" w:cs="Arial"/>
                <w:b/>
                <w:iCs/>
                <w:sz w:val="24"/>
                <w:szCs w:val="24"/>
              </w:rPr>
              <w:t>Nazwa wskaźnika</w:t>
            </w:r>
          </w:p>
        </w:tc>
        <w:tc>
          <w:tcPr>
            <w:tcW w:w="850" w:type="pct"/>
            <w:shd w:val="clear" w:color="auto" w:fill="auto"/>
            <w:vAlign w:val="center"/>
          </w:tcPr>
          <w:p w14:paraId="5ADD64AD" w14:textId="1DDAF205" w:rsidR="00E11C4A" w:rsidRPr="00236549" w:rsidRDefault="00E11C4A" w:rsidP="00E11C4A">
            <w:pPr>
              <w:spacing w:before="120" w:after="120"/>
              <w:jc w:val="center"/>
              <w:rPr>
                <w:rFonts w:ascii="Arial" w:hAnsi="Arial" w:cs="Arial"/>
                <w:iCs/>
                <w:sz w:val="24"/>
                <w:szCs w:val="24"/>
              </w:rPr>
            </w:pPr>
            <w:r w:rsidRPr="00236549">
              <w:rPr>
                <w:rFonts w:ascii="Arial" w:hAnsi="Arial" w:cs="Arial"/>
                <w:b/>
                <w:iCs/>
                <w:sz w:val="24"/>
                <w:szCs w:val="24"/>
              </w:rPr>
              <w:t>Jednostka miary</w:t>
            </w:r>
          </w:p>
        </w:tc>
        <w:tc>
          <w:tcPr>
            <w:tcW w:w="858" w:type="pct"/>
            <w:shd w:val="clear" w:color="auto" w:fill="auto"/>
            <w:vAlign w:val="center"/>
          </w:tcPr>
          <w:p w14:paraId="7A6C2267" w14:textId="73837CD6" w:rsidR="00E11C4A" w:rsidRPr="00236549" w:rsidRDefault="00E11C4A" w:rsidP="00E11C4A">
            <w:pPr>
              <w:spacing w:before="120" w:after="120"/>
              <w:jc w:val="center"/>
              <w:rPr>
                <w:rFonts w:ascii="Arial" w:hAnsi="Arial" w:cs="Arial"/>
                <w:iCs/>
                <w:sz w:val="24"/>
                <w:szCs w:val="24"/>
              </w:rPr>
            </w:pPr>
            <w:r w:rsidRPr="00236549">
              <w:rPr>
                <w:rFonts w:ascii="Arial" w:hAnsi="Arial" w:cs="Arial"/>
                <w:b/>
                <w:iCs/>
                <w:sz w:val="24"/>
                <w:szCs w:val="24"/>
              </w:rPr>
              <w:t>Rodzaj wskaźnika</w:t>
            </w:r>
          </w:p>
        </w:tc>
        <w:tc>
          <w:tcPr>
            <w:tcW w:w="1723" w:type="pct"/>
            <w:shd w:val="clear" w:color="auto" w:fill="auto"/>
            <w:vAlign w:val="center"/>
          </w:tcPr>
          <w:p w14:paraId="2170B64A" w14:textId="1659017A" w:rsidR="00E11C4A" w:rsidRPr="00236549" w:rsidRDefault="00E11C4A" w:rsidP="00E11C4A">
            <w:pPr>
              <w:pStyle w:val="Default"/>
              <w:spacing w:before="120" w:after="120" w:line="276" w:lineRule="auto"/>
              <w:jc w:val="center"/>
              <w:rPr>
                <w:iCs/>
                <w:color w:val="auto"/>
              </w:rPr>
            </w:pPr>
            <w:r w:rsidRPr="00236549">
              <w:rPr>
                <w:b/>
                <w:iCs/>
              </w:rPr>
              <w:t>Definicja</w:t>
            </w:r>
          </w:p>
        </w:tc>
      </w:tr>
      <w:tr w:rsidR="00E14171" w:rsidRPr="00E44801" w14:paraId="4A473D4E" w14:textId="77777777" w:rsidTr="007E2F96">
        <w:tc>
          <w:tcPr>
            <w:tcW w:w="387" w:type="pct"/>
            <w:shd w:val="clear" w:color="auto" w:fill="auto"/>
            <w:vAlign w:val="center"/>
          </w:tcPr>
          <w:p w14:paraId="6CE48C2F" w14:textId="273A2FA3" w:rsidR="00E14171" w:rsidRPr="00E44801" w:rsidRDefault="00E14171" w:rsidP="002A38B3">
            <w:pPr>
              <w:pStyle w:val="Akapitzlist"/>
              <w:numPr>
                <w:ilvl w:val="0"/>
                <w:numId w:val="41"/>
              </w:numPr>
              <w:tabs>
                <w:tab w:val="left" w:pos="360"/>
              </w:tabs>
              <w:rPr>
                <w:rFonts w:ascii="Arial" w:hAnsi="Arial" w:cs="Arial"/>
                <w:iCs/>
              </w:rPr>
            </w:pPr>
          </w:p>
        </w:tc>
        <w:tc>
          <w:tcPr>
            <w:tcW w:w="1182" w:type="pct"/>
            <w:shd w:val="clear" w:color="auto" w:fill="auto"/>
            <w:vAlign w:val="center"/>
          </w:tcPr>
          <w:p w14:paraId="16E2EA47" w14:textId="7915A323" w:rsidR="00E14171" w:rsidRPr="00E44801" w:rsidRDefault="00E14171" w:rsidP="0093787D">
            <w:pPr>
              <w:spacing w:before="240" w:after="0"/>
              <w:rPr>
                <w:rFonts w:ascii="Arial" w:hAnsi="Arial" w:cs="Arial"/>
                <w:iCs/>
                <w:lang w:eastAsia="pl-PL"/>
              </w:rPr>
            </w:pPr>
            <w:r w:rsidRPr="00E44801">
              <w:rPr>
                <w:rFonts w:ascii="Arial" w:hAnsi="Arial" w:cs="Arial"/>
                <w:iCs/>
                <w:lang w:eastAsia="pl-PL"/>
              </w:rPr>
              <w:t>Liczba projektów, w których sfinansowano koszty racjonalnych usprawnień dla osób z niepełnosprawnościami</w:t>
            </w:r>
            <w:r w:rsidR="00246F02">
              <w:rPr>
                <w:rFonts w:ascii="Arial" w:hAnsi="Arial" w:cs="Arial"/>
                <w:iCs/>
                <w:lang w:eastAsia="pl-PL"/>
              </w:rPr>
              <w:t>.</w:t>
            </w:r>
          </w:p>
        </w:tc>
        <w:tc>
          <w:tcPr>
            <w:tcW w:w="850" w:type="pct"/>
            <w:shd w:val="clear" w:color="auto" w:fill="auto"/>
            <w:vAlign w:val="center"/>
          </w:tcPr>
          <w:p w14:paraId="1A425B5F" w14:textId="65F83545" w:rsidR="00E14171" w:rsidRPr="00E44801" w:rsidRDefault="00E14171" w:rsidP="0093787D">
            <w:pPr>
              <w:spacing w:before="240" w:after="0"/>
              <w:jc w:val="center"/>
              <w:rPr>
                <w:rFonts w:ascii="Arial" w:hAnsi="Arial" w:cs="Arial"/>
                <w:iCs/>
              </w:rPr>
            </w:pPr>
            <w:r w:rsidRPr="00E44801">
              <w:rPr>
                <w:rFonts w:ascii="Arial" w:hAnsi="Arial" w:cs="Arial"/>
                <w:iCs/>
              </w:rPr>
              <w:t>sztuk</w:t>
            </w:r>
            <w:r w:rsidR="00E44801" w:rsidRPr="00E44801">
              <w:rPr>
                <w:rFonts w:ascii="Arial" w:hAnsi="Arial" w:cs="Arial"/>
                <w:iCs/>
              </w:rPr>
              <w:t>a</w:t>
            </w:r>
          </w:p>
        </w:tc>
        <w:tc>
          <w:tcPr>
            <w:tcW w:w="858" w:type="pct"/>
            <w:shd w:val="clear" w:color="auto" w:fill="auto"/>
            <w:vAlign w:val="center"/>
          </w:tcPr>
          <w:p w14:paraId="7EB7FA1D" w14:textId="5248C85C" w:rsidR="00E14171" w:rsidRPr="00E44801" w:rsidRDefault="00E44801" w:rsidP="0093787D">
            <w:pPr>
              <w:spacing w:before="240" w:after="0"/>
              <w:jc w:val="center"/>
              <w:rPr>
                <w:rFonts w:ascii="Arial" w:hAnsi="Arial" w:cs="Arial"/>
                <w:iCs/>
              </w:rPr>
            </w:pPr>
            <w:r w:rsidRPr="00E44801">
              <w:rPr>
                <w:rFonts w:ascii="Arial" w:hAnsi="Arial" w:cs="Arial"/>
                <w:iCs/>
              </w:rPr>
              <w:t xml:space="preserve">wskaźnik </w:t>
            </w:r>
            <w:r w:rsidR="00E14171" w:rsidRPr="00E44801">
              <w:rPr>
                <w:rFonts w:ascii="Arial" w:hAnsi="Arial" w:cs="Arial"/>
                <w:iCs/>
              </w:rPr>
              <w:t>produkt</w:t>
            </w:r>
            <w:r w:rsidRPr="00E44801">
              <w:rPr>
                <w:rFonts w:ascii="Arial" w:hAnsi="Arial" w:cs="Arial"/>
                <w:iCs/>
              </w:rPr>
              <w:t>u</w:t>
            </w:r>
          </w:p>
        </w:tc>
        <w:tc>
          <w:tcPr>
            <w:tcW w:w="1723" w:type="pct"/>
            <w:shd w:val="clear" w:color="auto" w:fill="auto"/>
            <w:vAlign w:val="center"/>
          </w:tcPr>
          <w:p w14:paraId="730329FC"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B6EA7B3"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Wskaźnik mierzony w momencie rozliczenia wydatku związanego z racjonalnymi usprawnieniami w ramach danego projektu.</w:t>
            </w:r>
          </w:p>
          <w:p w14:paraId="3F24614F"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71B5E106"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Do wskaźnika powinny zostać wliczone zarówno projekty ogólnodostępne, w których sfinansowano koszty racjonalnych usprawnień, jak </w:t>
            </w:r>
            <w:r w:rsidRPr="00E44801">
              <w:rPr>
                <w:iCs/>
                <w:color w:val="auto"/>
                <w:sz w:val="22"/>
                <w:szCs w:val="22"/>
              </w:rPr>
              <w:lastRenderedPageBreak/>
              <w:t>i dedykowane (zgodnie z kategoryzacją projektów z Wytycznych w zakresie realizacji zasad równościowych w ramach funduszy unijnych na lata 2021-2027).</w:t>
            </w:r>
          </w:p>
          <w:p w14:paraId="69868E66"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6A11DC8F"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Definicja na podstawie: Wytyczne w zakresie realizacji zasad równościowych w ramach funduszy unijnych na lata 2021-2027.</w:t>
            </w:r>
          </w:p>
        </w:tc>
      </w:tr>
      <w:tr w:rsidR="00E14171" w:rsidRPr="00E44801" w14:paraId="4D4BFB1E" w14:textId="77777777" w:rsidTr="007E2F96">
        <w:tc>
          <w:tcPr>
            <w:tcW w:w="387" w:type="pct"/>
            <w:shd w:val="clear" w:color="auto" w:fill="auto"/>
            <w:vAlign w:val="center"/>
          </w:tcPr>
          <w:p w14:paraId="2A07ADA2" w14:textId="63EC1DFB" w:rsidR="00E14171" w:rsidRPr="00E44801" w:rsidRDefault="00E14171" w:rsidP="002A38B3">
            <w:pPr>
              <w:pStyle w:val="Akapitzlist"/>
              <w:numPr>
                <w:ilvl w:val="0"/>
                <w:numId w:val="41"/>
              </w:numPr>
              <w:tabs>
                <w:tab w:val="left" w:pos="360"/>
              </w:tabs>
              <w:rPr>
                <w:rFonts w:ascii="Arial" w:hAnsi="Arial" w:cs="Arial"/>
                <w:iCs/>
              </w:rPr>
            </w:pPr>
          </w:p>
        </w:tc>
        <w:tc>
          <w:tcPr>
            <w:tcW w:w="1182" w:type="pct"/>
            <w:shd w:val="clear" w:color="auto" w:fill="auto"/>
            <w:vAlign w:val="center"/>
          </w:tcPr>
          <w:p w14:paraId="039CE098" w14:textId="4E207684" w:rsidR="00E14171" w:rsidRPr="00E44801" w:rsidRDefault="00E14171" w:rsidP="0093787D">
            <w:pPr>
              <w:spacing w:before="240" w:after="0"/>
              <w:rPr>
                <w:rFonts w:ascii="Arial" w:hAnsi="Arial" w:cs="Arial"/>
                <w:iCs/>
                <w:lang w:eastAsia="pl-PL"/>
              </w:rPr>
            </w:pPr>
            <w:r w:rsidRPr="00E44801">
              <w:rPr>
                <w:rFonts w:ascii="Arial" w:hAnsi="Arial" w:cs="Arial"/>
                <w:iCs/>
                <w:lang w:eastAsia="pl-PL"/>
              </w:rPr>
              <w:t>Liczba obiektów dostosowanych do potrzeb osób z niepełnosprawnościami</w:t>
            </w:r>
            <w:r w:rsidR="00246F02">
              <w:rPr>
                <w:rFonts w:ascii="Arial" w:hAnsi="Arial" w:cs="Arial"/>
                <w:iCs/>
                <w:lang w:eastAsia="pl-PL"/>
              </w:rPr>
              <w:t>.</w:t>
            </w:r>
          </w:p>
        </w:tc>
        <w:tc>
          <w:tcPr>
            <w:tcW w:w="850" w:type="pct"/>
            <w:shd w:val="clear" w:color="auto" w:fill="auto"/>
            <w:vAlign w:val="center"/>
          </w:tcPr>
          <w:p w14:paraId="3460D84C" w14:textId="288D032D" w:rsidR="00E14171" w:rsidRPr="00E44801" w:rsidRDefault="00E14171" w:rsidP="0093787D">
            <w:pPr>
              <w:spacing w:before="240" w:after="0"/>
              <w:jc w:val="center"/>
              <w:rPr>
                <w:rFonts w:ascii="Arial" w:hAnsi="Arial" w:cs="Arial"/>
                <w:iCs/>
              </w:rPr>
            </w:pPr>
            <w:r w:rsidRPr="00E44801">
              <w:rPr>
                <w:rFonts w:ascii="Arial" w:hAnsi="Arial" w:cs="Arial"/>
                <w:iCs/>
              </w:rPr>
              <w:t>sztuk</w:t>
            </w:r>
            <w:r w:rsidR="00E44801" w:rsidRPr="00E44801">
              <w:rPr>
                <w:rFonts w:ascii="Arial" w:hAnsi="Arial" w:cs="Arial"/>
                <w:iCs/>
              </w:rPr>
              <w:t>a</w:t>
            </w:r>
          </w:p>
        </w:tc>
        <w:tc>
          <w:tcPr>
            <w:tcW w:w="858" w:type="pct"/>
            <w:shd w:val="clear" w:color="auto" w:fill="auto"/>
            <w:vAlign w:val="center"/>
          </w:tcPr>
          <w:p w14:paraId="0256B47A" w14:textId="2839194A" w:rsidR="00E14171" w:rsidRPr="00E44801" w:rsidRDefault="00E44801" w:rsidP="0093787D">
            <w:pPr>
              <w:spacing w:before="240" w:after="0"/>
              <w:jc w:val="center"/>
              <w:rPr>
                <w:rFonts w:ascii="Arial" w:hAnsi="Arial" w:cs="Arial"/>
                <w:iCs/>
              </w:rPr>
            </w:pPr>
            <w:r w:rsidRPr="00E44801">
              <w:rPr>
                <w:rFonts w:ascii="Arial" w:hAnsi="Arial" w:cs="Arial"/>
                <w:iCs/>
              </w:rPr>
              <w:t xml:space="preserve">wskaźnik </w:t>
            </w:r>
            <w:r w:rsidR="00E14171" w:rsidRPr="00E44801">
              <w:rPr>
                <w:rFonts w:ascii="Arial" w:hAnsi="Arial" w:cs="Arial"/>
                <w:iCs/>
              </w:rPr>
              <w:t>produkt</w:t>
            </w:r>
            <w:r w:rsidRPr="00E44801">
              <w:rPr>
                <w:rFonts w:ascii="Arial" w:hAnsi="Arial" w:cs="Arial"/>
                <w:iCs/>
              </w:rPr>
              <w:t>u</w:t>
            </w:r>
          </w:p>
        </w:tc>
        <w:tc>
          <w:tcPr>
            <w:tcW w:w="1723" w:type="pct"/>
            <w:shd w:val="clear" w:color="auto" w:fill="auto"/>
            <w:vAlign w:val="center"/>
          </w:tcPr>
          <w:p w14:paraId="53567021"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36188A97"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Jako obiekty należy rozumieć konstrukcje połączone z </w:t>
            </w:r>
            <w:r w:rsidRPr="00E44801">
              <w:rPr>
                <w:iCs/>
                <w:color w:val="auto"/>
                <w:sz w:val="22"/>
                <w:szCs w:val="22"/>
              </w:rPr>
              <w:lastRenderedPageBreak/>
              <w:t>gruntem w sposób trwały, wykonane z materiałów budowlanych i elementów składowych, będące wynikiem prac budowlanych (wg. def. PKOB).</w:t>
            </w:r>
          </w:p>
          <w:p w14:paraId="6689A336"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49473F16"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Wskaźnik mierzony w momencie rozliczenia wydatku związanego z wyposażeniem obiektów w rozwiązania służące osobom z niepełnosprawnościami w ramach danego projektu.</w:t>
            </w:r>
          </w:p>
        </w:tc>
      </w:tr>
      <w:tr w:rsidR="00E14171" w:rsidRPr="00E44801" w14:paraId="4F17D2EC" w14:textId="77777777" w:rsidTr="007E2F96">
        <w:tc>
          <w:tcPr>
            <w:tcW w:w="387" w:type="pct"/>
            <w:shd w:val="clear" w:color="auto" w:fill="auto"/>
            <w:vAlign w:val="center"/>
          </w:tcPr>
          <w:p w14:paraId="76ED9CB7" w14:textId="7382821D" w:rsidR="00E14171" w:rsidRPr="00E44801" w:rsidRDefault="00E14171" w:rsidP="00C35170">
            <w:pPr>
              <w:pStyle w:val="Akapitzlist"/>
              <w:numPr>
                <w:ilvl w:val="0"/>
                <w:numId w:val="41"/>
              </w:numPr>
              <w:tabs>
                <w:tab w:val="left" w:pos="360"/>
              </w:tabs>
              <w:rPr>
                <w:rFonts w:ascii="Arial" w:hAnsi="Arial" w:cs="Arial"/>
                <w:iCs/>
              </w:rPr>
            </w:pPr>
          </w:p>
        </w:tc>
        <w:tc>
          <w:tcPr>
            <w:tcW w:w="1182" w:type="pct"/>
            <w:shd w:val="clear" w:color="auto" w:fill="auto"/>
            <w:vAlign w:val="center"/>
          </w:tcPr>
          <w:p w14:paraId="14A20B20" w14:textId="4E6F8915" w:rsidR="00E14171" w:rsidRPr="00E44801" w:rsidRDefault="00E14171" w:rsidP="0093787D">
            <w:pPr>
              <w:spacing w:before="240" w:after="0"/>
              <w:rPr>
                <w:rFonts w:ascii="Arial" w:hAnsi="Arial" w:cs="Arial"/>
                <w:iCs/>
                <w:lang w:eastAsia="pl-PL"/>
              </w:rPr>
            </w:pPr>
            <w:r w:rsidRPr="00E44801">
              <w:rPr>
                <w:rFonts w:ascii="Arial" w:hAnsi="Arial" w:cs="Arial"/>
                <w:iCs/>
                <w:lang w:eastAsia="pl-PL"/>
              </w:rPr>
              <w:t>Liczba osób z niepełnosprawnościami objętych wsparciem w programie</w:t>
            </w:r>
            <w:r w:rsidR="00246F02">
              <w:rPr>
                <w:rFonts w:ascii="Arial" w:hAnsi="Arial" w:cs="Arial"/>
                <w:iCs/>
                <w:lang w:eastAsia="pl-PL"/>
              </w:rPr>
              <w:t>.</w:t>
            </w:r>
          </w:p>
        </w:tc>
        <w:tc>
          <w:tcPr>
            <w:tcW w:w="850" w:type="pct"/>
            <w:shd w:val="clear" w:color="auto" w:fill="auto"/>
            <w:vAlign w:val="center"/>
          </w:tcPr>
          <w:p w14:paraId="27917ACE" w14:textId="636B3FE3" w:rsidR="00E14171" w:rsidRPr="00E44801" w:rsidRDefault="00E14171" w:rsidP="0093787D">
            <w:pPr>
              <w:spacing w:before="240" w:after="0"/>
              <w:jc w:val="center"/>
              <w:rPr>
                <w:rFonts w:ascii="Arial" w:hAnsi="Arial" w:cs="Arial"/>
                <w:iCs/>
              </w:rPr>
            </w:pPr>
            <w:r w:rsidRPr="00E44801">
              <w:rPr>
                <w:rFonts w:ascii="Arial" w:hAnsi="Arial" w:cs="Arial"/>
                <w:iCs/>
              </w:rPr>
              <w:t>osob</w:t>
            </w:r>
            <w:r w:rsidR="00E44801" w:rsidRPr="00E44801">
              <w:rPr>
                <w:rFonts w:ascii="Arial" w:hAnsi="Arial" w:cs="Arial"/>
                <w:iCs/>
              </w:rPr>
              <w:t>a</w:t>
            </w:r>
          </w:p>
        </w:tc>
        <w:tc>
          <w:tcPr>
            <w:tcW w:w="858" w:type="pct"/>
            <w:shd w:val="clear" w:color="auto" w:fill="auto"/>
            <w:vAlign w:val="center"/>
          </w:tcPr>
          <w:p w14:paraId="132102D0" w14:textId="105CF0BE" w:rsidR="00E14171" w:rsidRPr="00E44801" w:rsidRDefault="00E44801" w:rsidP="0093787D">
            <w:pPr>
              <w:spacing w:before="240" w:after="0"/>
              <w:jc w:val="center"/>
              <w:rPr>
                <w:rFonts w:ascii="Arial" w:hAnsi="Arial" w:cs="Arial"/>
                <w:iCs/>
              </w:rPr>
            </w:pPr>
            <w:r w:rsidRPr="00E44801">
              <w:rPr>
                <w:rFonts w:ascii="Arial" w:hAnsi="Arial" w:cs="Arial"/>
                <w:iCs/>
              </w:rPr>
              <w:t xml:space="preserve">wskaźnik </w:t>
            </w:r>
            <w:r w:rsidR="00E14171" w:rsidRPr="00E44801">
              <w:rPr>
                <w:rFonts w:ascii="Arial" w:hAnsi="Arial" w:cs="Arial"/>
                <w:iCs/>
              </w:rPr>
              <w:t>produkt</w:t>
            </w:r>
            <w:r w:rsidRPr="00E44801">
              <w:rPr>
                <w:rFonts w:ascii="Arial" w:hAnsi="Arial" w:cs="Arial"/>
                <w:iCs/>
              </w:rPr>
              <w:t>u</w:t>
            </w:r>
          </w:p>
        </w:tc>
        <w:tc>
          <w:tcPr>
            <w:tcW w:w="1723" w:type="pct"/>
            <w:shd w:val="clear" w:color="auto" w:fill="auto"/>
            <w:vAlign w:val="center"/>
          </w:tcPr>
          <w:p w14:paraId="5CD9392F" w14:textId="7A9A6603"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473B3B1"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Przynależność do grupy osób z niepełnosprawnościami określana jest w momencie </w:t>
            </w:r>
            <w:r w:rsidRPr="00E44801">
              <w:rPr>
                <w:iCs/>
                <w:color w:val="auto"/>
                <w:sz w:val="22"/>
                <w:szCs w:val="22"/>
              </w:rPr>
              <w:lastRenderedPageBreak/>
              <w:t>rozpoczęcia udziału w projekcie, tj. w chwili rozpoczęcia udziału w pierwszej formie wsparcia w projekcie.</w:t>
            </w:r>
          </w:p>
          <w:p w14:paraId="35C14B31"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w:t>
            </w:r>
            <w:r w:rsidRPr="00E44801">
              <w:rPr>
                <w:iCs/>
                <w:color w:val="auto"/>
                <w:sz w:val="22"/>
                <w:szCs w:val="22"/>
              </w:rPr>
              <w:lastRenderedPageBreak/>
              <w:t xml:space="preserve">stosowana wyłącznie jedna metoda monitorowania tego wskaźnika tj. szacowanie lub zbieranie danych osobowych dot. tego wskaźnika od uczestników. </w:t>
            </w:r>
          </w:p>
          <w:p w14:paraId="536E71FD"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Zasady dotyczące możliwości wykorzystania wiarygodnych szacunków przez beneficjentów w danym naborze określane są przez właściwą dla programu Instytucję Zarządzającą.</w:t>
            </w:r>
          </w:p>
        </w:tc>
      </w:tr>
      <w:tr w:rsidR="00E14171" w:rsidRPr="00E44801" w14:paraId="425252E6" w14:textId="77777777" w:rsidTr="007E2F96">
        <w:tc>
          <w:tcPr>
            <w:tcW w:w="387" w:type="pct"/>
            <w:shd w:val="clear" w:color="auto" w:fill="auto"/>
            <w:vAlign w:val="center"/>
          </w:tcPr>
          <w:p w14:paraId="600383AB" w14:textId="1347AC0D" w:rsidR="00E14171" w:rsidRPr="00E44801" w:rsidRDefault="00E14171" w:rsidP="002A38B3">
            <w:pPr>
              <w:pStyle w:val="Akapitzlist"/>
              <w:numPr>
                <w:ilvl w:val="0"/>
                <w:numId w:val="41"/>
              </w:numPr>
              <w:tabs>
                <w:tab w:val="left" w:pos="360"/>
              </w:tabs>
              <w:rPr>
                <w:rFonts w:ascii="Arial" w:hAnsi="Arial" w:cs="Arial"/>
                <w:iCs/>
              </w:rPr>
            </w:pPr>
          </w:p>
        </w:tc>
        <w:tc>
          <w:tcPr>
            <w:tcW w:w="1182" w:type="pct"/>
            <w:shd w:val="clear" w:color="auto" w:fill="auto"/>
            <w:vAlign w:val="center"/>
          </w:tcPr>
          <w:p w14:paraId="01DF3275" w14:textId="27EAD062" w:rsidR="00E14171" w:rsidRPr="00E44801" w:rsidRDefault="00E14171" w:rsidP="0093787D">
            <w:pPr>
              <w:spacing w:before="240" w:after="0"/>
              <w:rPr>
                <w:rFonts w:ascii="Arial" w:hAnsi="Arial" w:cs="Arial"/>
                <w:iCs/>
                <w:lang w:eastAsia="pl-PL"/>
              </w:rPr>
            </w:pPr>
            <w:r w:rsidRPr="00E44801">
              <w:rPr>
                <w:rFonts w:ascii="Arial" w:hAnsi="Arial" w:cs="Arial"/>
                <w:iCs/>
                <w:lang w:eastAsia="pl-PL"/>
              </w:rPr>
              <w:t>Liczba osób z krajów trzecich objętych wsparciem w programie</w:t>
            </w:r>
            <w:r w:rsidR="00246F02">
              <w:rPr>
                <w:rFonts w:ascii="Arial" w:hAnsi="Arial" w:cs="Arial"/>
                <w:iCs/>
                <w:lang w:eastAsia="pl-PL"/>
              </w:rPr>
              <w:t>.</w:t>
            </w:r>
          </w:p>
        </w:tc>
        <w:tc>
          <w:tcPr>
            <w:tcW w:w="850" w:type="pct"/>
            <w:shd w:val="clear" w:color="auto" w:fill="auto"/>
            <w:vAlign w:val="center"/>
          </w:tcPr>
          <w:p w14:paraId="6A9F653A" w14:textId="2F9F29EE" w:rsidR="00E14171" w:rsidRPr="00E44801" w:rsidRDefault="00E14171" w:rsidP="0093787D">
            <w:pPr>
              <w:spacing w:before="240" w:after="0"/>
              <w:jc w:val="center"/>
              <w:rPr>
                <w:rFonts w:ascii="Arial" w:hAnsi="Arial" w:cs="Arial"/>
                <w:iCs/>
              </w:rPr>
            </w:pPr>
            <w:r w:rsidRPr="00E44801">
              <w:rPr>
                <w:rFonts w:ascii="Arial" w:hAnsi="Arial" w:cs="Arial"/>
                <w:iCs/>
              </w:rPr>
              <w:t>osob</w:t>
            </w:r>
            <w:r w:rsidR="00E44801" w:rsidRPr="00E44801">
              <w:rPr>
                <w:rFonts w:ascii="Arial" w:hAnsi="Arial" w:cs="Arial"/>
                <w:iCs/>
              </w:rPr>
              <w:t>a</w:t>
            </w:r>
          </w:p>
        </w:tc>
        <w:tc>
          <w:tcPr>
            <w:tcW w:w="858" w:type="pct"/>
            <w:shd w:val="clear" w:color="auto" w:fill="auto"/>
            <w:vAlign w:val="center"/>
          </w:tcPr>
          <w:p w14:paraId="7FFB6126" w14:textId="5A5B7BBA" w:rsidR="00E14171" w:rsidRPr="00E44801" w:rsidRDefault="00E44801" w:rsidP="0093787D">
            <w:pPr>
              <w:spacing w:before="240" w:after="0"/>
              <w:jc w:val="center"/>
              <w:rPr>
                <w:rFonts w:ascii="Arial" w:hAnsi="Arial" w:cs="Arial"/>
                <w:iCs/>
              </w:rPr>
            </w:pPr>
            <w:r w:rsidRPr="00E44801">
              <w:rPr>
                <w:rFonts w:ascii="Arial" w:hAnsi="Arial" w:cs="Arial"/>
                <w:iCs/>
              </w:rPr>
              <w:t xml:space="preserve">wskaźnik </w:t>
            </w:r>
            <w:r w:rsidR="00E14171" w:rsidRPr="00E44801">
              <w:rPr>
                <w:rFonts w:ascii="Arial" w:hAnsi="Arial" w:cs="Arial"/>
                <w:iCs/>
              </w:rPr>
              <w:t>produkt</w:t>
            </w:r>
            <w:r w:rsidRPr="00E44801">
              <w:rPr>
                <w:rFonts w:ascii="Arial" w:hAnsi="Arial" w:cs="Arial"/>
                <w:iCs/>
              </w:rPr>
              <w:t>u</w:t>
            </w:r>
          </w:p>
        </w:tc>
        <w:tc>
          <w:tcPr>
            <w:tcW w:w="1723" w:type="pct"/>
            <w:shd w:val="clear" w:color="auto" w:fill="auto"/>
            <w:vAlign w:val="center"/>
          </w:tcPr>
          <w:p w14:paraId="69CAE20B"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Osoby, które są obywatelami krajów spoza UE. Do wskaźnika wlicza się też bezpaństwowców zgodnie z Konwencją o statusie bezpaństwowców z 1954 r. i osoby bez ustalonego obywatelstwa. </w:t>
            </w:r>
          </w:p>
          <w:p w14:paraId="274EA7EC"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Przynależność do grupy osób z krajów trzecich określana jest w momencie rozpoczęcia udziału w projekcie, tj. w chwili rozpoczęcia udziału w pierwszej formie wsparcia w projekcie.</w:t>
            </w:r>
          </w:p>
          <w:p w14:paraId="0F8CE01B"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t>
            </w:r>
            <w:r w:rsidRPr="00E44801">
              <w:rPr>
                <w:iCs/>
                <w:color w:val="auto"/>
                <w:sz w:val="22"/>
                <w:szCs w:val="22"/>
              </w:rPr>
              <w:lastRenderedPageBreak/>
              <w:t xml:space="preserve">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2A7E1758"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Zasady dotyczące możliwości wykorzystania wiarygodnych szacunków przez beneficjentów w danym naborze określane są przez właściwą dla programu Instytucję Zarządzającą.</w:t>
            </w:r>
          </w:p>
        </w:tc>
      </w:tr>
      <w:tr w:rsidR="00E14171" w:rsidRPr="00E44801" w14:paraId="1C5EF30A" w14:textId="77777777" w:rsidTr="007E2F96">
        <w:tc>
          <w:tcPr>
            <w:tcW w:w="387" w:type="pct"/>
            <w:shd w:val="clear" w:color="auto" w:fill="auto"/>
            <w:vAlign w:val="center"/>
          </w:tcPr>
          <w:p w14:paraId="6B4329C7" w14:textId="110E52E8" w:rsidR="00E14171" w:rsidRPr="00E44801" w:rsidRDefault="00E14171" w:rsidP="002A38B3">
            <w:pPr>
              <w:pStyle w:val="Akapitzlist"/>
              <w:numPr>
                <w:ilvl w:val="0"/>
                <w:numId w:val="41"/>
              </w:numPr>
              <w:tabs>
                <w:tab w:val="left" w:pos="360"/>
              </w:tabs>
              <w:rPr>
                <w:rFonts w:ascii="Arial" w:hAnsi="Arial" w:cs="Arial"/>
                <w:iCs/>
              </w:rPr>
            </w:pPr>
          </w:p>
        </w:tc>
        <w:tc>
          <w:tcPr>
            <w:tcW w:w="1182" w:type="pct"/>
            <w:shd w:val="clear" w:color="auto" w:fill="auto"/>
            <w:vAlign w:val="center"/>
          </w:tcPr>
          <w:p w14:paraId="0AA6AA89" w14:textId="76490CB3" w:rsidR="00E14171" w:rsidRPr="00E44801" w:rsidRDefault="00E14171" w:rsidP="0093787D">
            <w:pPr>
              <w:spacing w:before="240" w:after="0"/>
              <w:rPr>
                <w:rFonts w:ascii="Arial" w:hAnsi="Arial" w:cs="Arial"/>
                <w:iCs/>
                <w:lang w:eastAsia="pl-PL"/>
              </w:rPr>
            </w:pPr>
            <w:r w:rsidRPr="00E44801">
              <w:rPr>
                <w:rFonts w:ascii="Arial" w:hAnsi="Arial" w:cs="Arial"/>
                <w:iCs/>
                <w:lang w:eastAsia="pl-PL"/>
              </w:rPr>
              <w:t>Liczba osób obcego pochodzenia objętych wsparciem w programie</w:t>
            </w:r>
            <w:r w:rsidR="00246F02">
              <w:rPr>
                <w:rFonts w:ascii="Arial" w:hAnsi="Arial" w:cs="Arial"/>
                <w:iCs/>
                <w:lang w:eastAsia="pl-PL"/>
              </w:rPr>
              <w:t>.</w:t>
            </w:r>
          </w:p>
        </w:tc>
        <w:tc>
          <w:tcPr>
            <w:tcW w:w="850" w:type="pct"/>
            <w:shd w:val="clear" w:color="auto" w:fill="auto"/>
            <w:vAlign w:val="center"/>
          </w:tcPr>
          <w:p w14:paraId="36E90B55" w14:textId="0054709F" w:rsidR="00E14171" w:rsidRPr="00E44801" w:rsidRDefault="00E14171" w:rsidP="0093787D">
            <w:pPr>
              <w:spacing w:before="240" w:after="0"/>
              <w:jc w:val="center"/>
              <w:rPr>
                <w:rFonts w:ascii="Arial" w:hAnsi="Arial" w:cs="Arial"/>
                <w:iCs/>
              </w:rPr>
            </w:pPr>
            <w:r w:rsidRPr="00E44801">
              <w:rPr>
                <w:rFonts w:ascii="Arial" w:hAnsi="Arial" w:cs="Arial"/>
                <w:iCs/>
              </w:rPr>
              <w:t>osob</w:t>
            </w:r>
            <w:r w:rsidR="00E44801" w:rsidRPr="00E44801">
              <w:rPr>
                <w:rFonts w:ascii="Arial" w:hAnsi="Arial" w:cs="Arial"/>
                <w:iCs/>
              </w:rPr>
              <w:t>a</w:t>
            </w:r>
          </w:p>
        </w:tc>
        <w:tc>
          <w:tcPr>
            <w:tcW w:w="858" w:type="pct"/>
            <w:shd w:val="clear" w:color="auto" w:fill="auto"/>
            <w:vAlign w:val="center"/>
          </w:tcPr>
          <w:p w14:paraId="2564933F" w14:textId="66456BEC" w:rsidR="00E14171" w:rsidRPr="00E44801" w:rsidRDefault="00E44801" w:rsidP="0093787D">
            <w:pPr>
              <w:spacing w:before="240" w:after="0"/>
              <w:jc w:val="center"/>
              <w:rPr>
                <w:rFonts w:ascii="Arial" w:hAnsi="Arial" w:cs="Arial"/>
                <w:iCs/>
              </w:rPr>
            </w:pPr>
            <w:r w:rsidRPr="00E44801">
              <w:rPr>
                <w:rFonts w:ascii="Arial" w:hAnsi="Arial" w:cs="Arial"/>
                <w:iCs/>
              </w:rPr>
              <w:t xml:space="preserve">wskaźnik </w:t>
            </w:r>
            <w:r w:rsidR="00E14171" w:rsidRPr="00E44801">
              <w:rPr>
                <w:rFonts w:ascii="Arial" w:hAnsi="Arial" w:cs="Arial"/>
                <w:iCs/>
              </w:rPr>
              <w:t>produkt</w:t>
            </w:r>
            <w:r w:rsidRPr="00E44801">
              <w:rPr>
                <w:rFonts w:ascii="Arial" w:hAnsi="Arial" w:cs="Arial"/>
                <w:iCs/>
              </w:rPr>
              <w:t>u</w:t>
            </w:r>
          </w:p>
        </w:tc>
        <w:tc>
          <w:tcPr>
            <w:tcW w:w="1723" w:type="pct"/>
            <w:shd w:val="clear" w:color="auto" w:fill="auto"/>
            <w:vAlign w:val="center"/>
          </w:tcPr>
          <w:p w14:paraId="1E71A9C9"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Osoby obcego pochodzenia to cudzoziemcy - każda osoba, która nie posiada polskiego obywatelstwa, bez względu na fakt posiadania lub nie obywatelstwa (obywatelstw) innych krajów. </w:t>
            </w:r>
          </w:p>
          <w:p w14:paraId="098B4BF4"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lastRenderedPageBreak/>
              <w:t>Wskaźnik nie obejmuje osób należących do mniejszości, których udział w projektach monitorowany jest wskaźnikiem liczba osób należących do mniejszości, w tym społeczności marginalizowanych takich jak Romowie, objętych wsparciem w programie.</w:t>
            </w:r>
          </w:p>
          <w:p w14:paraId="3FED9181"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Przynależność do grupy osób obcego pochodzenia określana jest w momencie rozpoczęcia udziału w projekcie, tj. w chwili rozpoczęcia udziału w pierwszej formie wsparcia w projekcie.</w:t>
            </w:r>
          </w:p>
          <w:p w14:paraId="17F3CEBE"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w:t>
            </w:r>
            <w:r w:rsidRPr="00E44801">
              <w:rPr>
                <w:iCs/>
                <w:color w:val="auto"/>
                <w:sz w:val="22"/>
                <w:szCs w:val="22"/>
              </w:rPr>
              <w:lastRenderedPageBreak/>
              <w:t xml:space="preserve">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7F4F106F"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Informacje dodatkowe: Wskaźnik będzie obejmował zawsze osoby z krajów trzecich, zliczane we wskaźniku liczba osób z krajów trzecich objętych wsparciem w programie.</w:t>
            </w:r>
          </w:p>
          <w:p w14:paraId="1736621F"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Zasady dotyczące możliwości wykorzystania wiarygodnych szacunków przez beneficjentów w danym naborze określane są przez właściwą dla programu Instytucję Zarządzającą.</w:t>
            </w:r>
          </w:p>
        </w:tc>
      </w:tr>
      <w:tr w:rsidR="00E14171" w:rsidRPr="00E44801" w14:paraId="288C786A" w14:textId="77777777" w:rsidTr="007E2F96">
        <w:tc>
          <w:tcPr>
            <w:tcW w:w="387" w:type="pct"/>
            <w:shd w:val="clear" w:color="auto" w:fill="auto"/>
            <w:vAlign w:val="center"/>
          </w:tcPr>
          <w:p w14:paraId="019E8DD2" w14:textId="79E58C92" w:rsidR="00E14171" w:rsidRPr="00E44801" w:rsidRDefault="00E14171" w:rsidP="002A38B3">
            <w:pPr>
              <w:pStyle w:val="Akapitzlist"/>
              <w:numPr>
                <w:ilvl w:val="0"/>
                <w:numId w:val="41"/>
              </w:numPr>
              <w:tabs>
                <w:tab w:val="left" w:pos="360"/>
              </w:tabs>
              <w:rPr>
                <w:rFonts w:ascii="Arial" w:hAnsi="Arial" w:cs="Arial"/>
                <w:iCs/>
              </w:rPr>
            </w:pPr>
          </w:p>
        </w:tc>
        <w:tc>
          <w:tcPr>
            <w:tcW w:w="1182" w:type="pct"/>
            <w:shd w:val="clear" w:color="auto" w:fill="auto"/>
            <w:vAlign w:val="center"/>
          </w:tcPr>
          <w:p w14:paraId="3AB353D5" w14:textId="6B792BB5" w:rsidR="00E14171" w:rsidRPr="00E44801" w:rsidRDefault="00E14171" w:rsidP="0093787D">
            <w:pPr>
              <w:spacing w:before="240" w:after="0"/>
              <w:rPr>
                <w:rFonts w:ascii="Arial" w:hAnsi="Arial" w:cs="Arial"/>
                <w:iCs/>
                <w:lang w:eastAsia="pl-PL"/>
              </w:rPr>
            </w:pPr>
            <w:r w:rsidRPr="00E44801">
              <w:rPr>
                <w:rFonts w:ascii="Arial" w:hAnsi="Arial" w:cs="Arial"/>
                <w:iCs/>
                <w:lang w:eastAsia="pl-PL"/>
              </w:rPr>
              <w:t>Liczba osób należących do mniejszości, w tym społeczności marginalizowanych takich jak Romowie, objętych wsparciem w programie</w:t>
            </w:r>
            <w:r w:rsidR="00246F02">
              <w:rPr>
                <w:rFonts w:ascii="Arial" w:hAnsi="Arial" w:cs="Arial"/>
                <w:iCs/>
                <w:lang w:eastAsia="pl-PL"/>
              </w:rPr>
              <w:t>.</w:t>
            </w:r>
          </w:p>
        </w:tc>
        <w:tc>
          <w:tcPr>
            <w:tcW w:w="850" w:type="pct"/>
            <w:shd w:val="clear" w:color="auto" w:fill="auto"/>
            <w:vAlign w:val="center"/>
          </w:tcPr>
          <w:p w14:paraId="0CA3E21B" w14:textId="18320A65" w:rsidR="00E14171" w:rsidRPr="00E44801" w:rsidRDefault="00E14171" w:rsidP="0093787D">
            <w:pPr>
              <w:spacing w:before="240" w:after="0"/>
              <w:jc w:val="center"/>
              <w:rPr>
                <w:rFonts w:ascii="Arial" w:hAnsi="Arial" w:cs="Arial"/>
                <w:iCs/>
              </w:rPr>
            </w:pPr>
            <w:r w:rsidRPr="00E44801">
              <w:rPr>
                <w:rFonts w:ascii="Arial" w:hAnsi="Arial" w:cs="Arial"/>
                <w:iCs/>
              </w:rPr>
              <w:t>osob</w:t>
            </w:r>
            <w:r w:rsidR="00E44801" w:rsidRPr="00E44801">
              <w:rPr>
                <w:rFonts w:ascii="Arial" w:hAnsi="Arial" w:cs="Arial"/>
                <w:iCs/>
              </w:rPr>
              <w:t>a</w:t>
            </w:r>
          </w:p>
        </w:tc>
        <w:tc>
          <w:tcPr>
            <w:tcW w:w="858" w:type="pct"/>
            <w:shd w:val="clear" w:color="auto" w:fill="auto"/>
            <w:vAlign w:val="center"/>
          </w:tcPr>
          <w:p w14:paraId="0625EEF1" w14:textId="082AF63B" w:rsidR="00E14171" w:rsidRPr="00E44801" w:rsidRDefault="00E44801" w:rsidP="0093787D">
            <w:pPr>
              <w:spacing w:before="240" w:after="0"/>
              <w:jc w:val="center"/>
              <w:rPr>
                <w:rFonts w:ascii="Arial" w:hAnsi="Arial" w:cs="Arial"/>
                <w:iCs/>
              </w:rPr>
            </w:pPr>
            <w:r w:rsidRPr="00E44801">
              <w:rPr>
                <w:rFonts w:ascii="Arial" w:hAnsi="Arial" w:cs="Arial"/>
                <w:iCs/>
              </w:rPr>
              <w:t xml:space="preserve">wskaźnik </w:t>
            </w:r>
            <w:r w:rsidR="00E14171" w:rsidRPr="00E44801">
              <w:rPr>
                <w:rFonts w:ascii="Arial" w:hAnsi="Arial" w:cs="Arial"/>
                <w:iCs/>
              </w:rPr>
              <w:t>produkt</w:t>
            </w:r>
            <w:r w:rsidRPr="00E44801">
              <w:rPr>
                <w:rFonts w:ascii="Arial" w:hAnsi="Arial" w:cs="Arial"/>
                <w:iCs/>
              </w:rPr>
              <w:t>u</w:t>
            </w:r>
          </w:p>
        </w:tc>
        <w:tc>
          <w:tcPr>
            <w:tcW w:w="1723" w:type="pct"/>
            <w:shd w:val="clear" w:color="auto" w:fill="auto"/>
            <w:vAlign w:val="center"/>
          </w:tcPr>
          <w:p w14:paraId="784C51D0"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Wskaźnik obejmuje osoby należące do mniejszości narodowych i etnicznych biorące udział w projektach EFS+.</w:t>
            </w:r>
          </w:p>
          <w:p w14:paraId="22EB9698"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Zgodnie z prawem krajowym mniejszości narodowe to mniejszość: białoruska, czeska, litewska, niemiecka, ormiańska, rosyjska, słowacka, ukraińska, </w:t>
            </w:r>
            <w:r w:rsidRPr="00E44801">
              <w:rPr>
                <w:iCs/>
                <w:color w:val="auto"/>
                <w:sz w:val="22"/>
                <w:szCs w:val="22"/>
              </w:rPr>
              <w:lastRenderedPageBreak/>
              <w:t>żydowska. Mniejszości etniczne: karaimska, łemkowska, romska, tatarska.</w:t>
            </w:r>
          </w:p>
          <w:p w14:paraId="42FD0CC7" w14:textId="60A6AF4A"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Definicja opracowana na podstawie ustawy z dnia 6 stycznia 2005 r. o mniejszościach narodowych i etnicznych oraz o języku regionalnym</w:t>
            </w:r>
            <w:r w:rsidR="000B50A2">
              <w:rPr>
                <w:rStyle w:val="Odwoanieprzypisudolnego"/>
                <w:iCs/>
                <w:color w:val="auto"/>
                <w:sz w:val="22"/>
                <w:szCs w:val="22"/>
              </w:rPr>
              <w:footnoteReference w:id="1"/>
            </w:r>
            <w:r w:rsidRPr="00E44801">
              <w:rPr>
                <w:iCs/>
                <w:color w:val="auto"/>
                <w:sz w:val="22"/>
                <w:szCs w:val="22"/>
              </w:rPr>
              <w:t>.</w:t>
            </w:r>
          </w:p>
          <w:p w14:paraId="00DFF3AE"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Przynależność do grupy osób należących do mniejszości określana jest w momencie rozpoczęcia udziału w projekcie, tj. w chwili rozpoczęcia udziału w pierwszej formie wsparcia w projekcie.</w:t>
            </w:r>
          </w:p>
          <w:p w14:paraId="2A941555"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w:t>
            </w:r>
            <w:r w:rsidRPr="00E44801">
              <w:rPr>
                <w:iCs/>
                <w:color w:val="auto"/>
                <w:sz w:val="22"/>
                <w:szCs w:val="22"/>
              </w:rPr>
              <w:lastRenderedPageBreak/>
              <w:t>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E031D6C"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Zasady dotyczące możliwości wykorzystania wiarygodnych szacunków przez beneficjentów w danym naborze określane są przez właściwą dla programu Instytucję Zarządzającą</w:t>
            </w:r>
          </w:p>
        </w:tc>
      </w:tr>
      <w:tr w:rsidR="00E14171" w:rsidRPr="00E44801" w14:paraId="48CB343A" w14:textId="77777777" w:rsidTr="007E2F96">
        <w:tc>
          <w:tcPr>
            <w:tcW w:w="387" w:type="pct"/>
            <w:shd w:val="clear" w:color="auto" w:fill="auto"/>
            <w:vAlign w:val="center"/>
          </w:tcPr>
          <w:p w14:paraId="2FF430DF" w14:textId="77BBFCB6" w:rsidR="00E14171" w:rsidRPr="00E44801" w:rsidRDefault="00E14171" w:rsidP="002A38B3">
            <w:pPr>
              <w:pStyle w:val="Akapitzlist"/>
              <w:numPr>
                <w:ilvl w:val="0"/>
                <w:numId w:val="41"/>
              </w:numPr>
              <w:tabs>
                <w:tab w:val="left" w:pos="360"/>
              </w:tabs>
              <w:rPr>
                <w:rFonts w:ascii="Arial" w:hAnsi="Arial" w:cs="Arial"/>
                <w:iCs/>
              </w:rPr>
            </w:pPr>
          </w:p>
        </w:tc>
        <w:tc>
          <w:tcPr>
            <w:tcW w:w="1182" w:type="pct"/>
            <w:shd w:val="clear" w:color="auto" w:fill="auto"/>
            <w:vAlign w:val="center"/>
          </w:tcPr>
          <w:p w14:paraId="4603993D" w14:textId="228EA230" w:rsidR="00E14171" w:rsidRPr="00E44801" w:rsidRDefault="00E14171" w:rsidP="0093787D">
            <w:pPr>
              <w:spacing w:before="240" w:after="0"/>
              <w:rPr>
                <w:rFonts w:ascii="Arial" w:hAnsi="Arial" w:cs="Arial"/>
                <w:iCs/>
                <w:lang w:eastAsia="pl-PL"/>
              </w:rPr>
            </w:pPr>
            <w:r w:rsidRPr="00E44801">
              <w:rPr>
                <w:rFonts w:ascii="Arial" w:hAnsi="Arial" w:cs="Arial"/>
                <w:iCs/>
                <w:lang w:eastAsia="pl-PL"/>
              </w:rPr>
              <w:t>Liczba osób w kryzysie bezdomności lub dotkniętych wykluczeniem z dostępu do mieszkań, objętych wsparciem w programie</w:t>
            </w:r>
            <w:r w:rsidR="00246F02">
              <w:rPr>
                <w:rFonts w:ascii="Arial" w:hAnsi="Arial" w:cs="Arial"/>
                <w:iCs/>
                <w:lang w:eastAsia="pl-PL"/>
              </w:rPr>
              <w:t>.</w:t>
            </w:r>
          </w:p>
        </w:tc>
        <w:tc>
          <w:tcPr>
            <w:tcW w:w="850" w:type="pct"/>
            <w:shd w:val="clear" w:color="auto" w:fill="auto"/>
            <w:vAlign w:val="center"/>
          </w:tcPr>
          <w:p w14:paraId="131AA087" w14:textId="1DE90465" w:rsidR="00E14171" w:rsidRPr="00E44801" w:rsidRDefault="00E14171" w:rsidP="0093787D">
            <w:pPr>
              <w:spacing w:before="240" w:after="0"/>
              <w:jc w:val="center"/>
              <w:rPr>
                <w:rFonts w:ascii="Arial" w:hAnsi="Arial" w:cs="Arial"/>
                <w:iCs/>
              </w:rPr>
            </w:pPr>
            <w:r w:rsidRPr="00E44801">
              <w:rPr>
                <w:rFonts w:ascii="Arial" w:hAnsi="Arial" w:cs="Arial"/>
                <w:iCs/>
              </w:rPr>
              <w:t>osob</w:t>
            </w:r>
            <w:r w:rsidR="00E44801" w:rsidRPr="00E44801">
              <w:rPr>
                <w:rFonts w:ascii="Arial" w:hAnsi="Arial" w:cs="Arial"/>
                <w:iCs/>
              </w:rPr>
              <w:t>a</w:t>
            </w:r>
          </w:p>
        </w:tc>
        <w:tc>
          <w:tcPr>
            <w:tcW w:w="858" w:type="pct"/>
            <w:shd w:val="clear" w:color="auto" w:fill="auto"/>
            <w:vAlign w:val="center"/>
          </w:tcPr>
          <w:p w14:paraId="7F8D114A" w14:textId="4E2317F9" w:rsidR="00E14171" w:rsidRPr="00E44801" w:rsidRDefault="00E44801" w:rsidP="0093787D">
            <w:pPr>
              <w:spacing w:before="240" w:after="0"/>
              <w:jc w:val="center"/>
              <w:rPr>
                <w:rFonts w:ascii="Arial" w:hAnsi="Arial" w:cs="Arial"/>
                <w:iCs/>
              </w:rPr>
            </w:pPr>
            <w:r w:rsidRPr="00E44801">
              <w:rPr>
                <w:rFonts w:ascii="Arial" w:hAnsi="Arial" w:cs="Arial"/>
                <w:iCs/>
              </w:rPr>
              <w:t xml:space="preserve">wskaźnik </w:t>
            </w:r>
            <w:r w:rsidR="00E14171" w:rsidRPr="00E44801">
              <w:rPr>
                <w:rFonts w:ascii="Arial" w:hAnsi="Arial" w:cs="Arial"/>
                <w:iCs/>
              </w:rPr>
              <w:t>produk</w:t>
            </w:r>
            <w:r w:rsidRPr="00E44801">
              <w:rPr>
                <w:rFonts w:ascii="Arial" w:hAnsi="Arial" w:cs="Arial"/>
                <w:iCs/>
              </w:rPr>
              <w:t>tu</w:t>
            </w:r>
          </w:p>
        </w:tc>
        <w:tc>
          <w:tcPr>
            <w:tcW w:w="1723" w:type="pct"/>
            <w:shd w:val="clear" w:color="auto" w:fill="auto"/>
            <w:vAlign w:val="center"/>
          </w:tcPr>
          <w:p w14:paraId="61DD3134"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We wskaźniku wykazywane są osoby w kryzysie bezdomności lub dotknięte wykluczeniem z dostępu do mieszkań.</w:t>
            </w:r>
          </w:p>
          <w:p w14:paraId="7DB57253"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Bezdomność i wykluczenie mieszkaniowe definiowane są zgodnie z Europejską typologią bezdomności i wykluczenia mieszkaniowego ETHOS, w której wskazuje się okoliczności życia w </w:t>
            </w:r>
            <w:r w:rsidRPr="00E44801">
              <w:rPr>
                <w:iCs/>
                <w:color w:val="auto"/>
                <w:sz w:val="22"/>
                <w:szCs w:val="22"/>
              </w:rPr>
              <w:lastRenderedPageBreak/>
              <w:t xml:space="preserve">bezdomności lub ekstremalne formy wykluczenia mieszkaniowego oraz ustawą z dnia 12 marca 2004 r.  o pomocy społecznej: </w:t>
            </w:r>
          </w:p>
          <w:p w14:paraId="34EFE392" w14:textId="517C36B6" w:rsidR="00E14171" w:rsidRPr="00E44801" w:rsidRDefault="00E14171" w:rsidP="000B15E9">
            <w:pPr>
              <w:pStyle w:val="Default"/>
              <w:numPr>
                <w:ilvl w:val="0"/>
                <w:numId w:val="34"/>
              </w:numPr>
              <w:spacing w:before="60" w:after="120" w:line="276" w:lineRule="auto"/>
              <w:ind w:left="45" w:hanging="45"/>
              <w:rPr>
                <w:iCs/>
                <w:color w:val="auto"/>
                <w:sz w:val="22"/>
                <w:szCs w:val="22"/>
              </w:rPr>
            </w:pPr>
            <w:r w:rsidRPr="00E44801">
              <w:rPr>
                <w:iCs/>
                <w:color w:val="auto"/>
                <w:sz w:val="22"/>
                <w:szCs w:val="22"/>
              </w:rPr>
              <w:t>Bez dachu nad głową, w tym osoby żyjące w przestrzeni publicznej lub zakwaterowane interwencyjnie;</w:t>
            </w:r>
          </w:p>
          <w:p w14:paraId="71FA36F8" w14:textId="254BCDFE" w:rsidR="00E14171" w:rsidRPr="00E44801" w:rsidRDefault="00E14171" w:rsidP="000B15E9">
            <w:pPr>
              <w:pStyle w:val="Default"/>
              <w:numPr>
                <w:ilvl w:val="0"/>
                <w:numId w:val="34"/>
              </w:numPr>
              <w:spacing w:before="60" w:after="120" w:line="276" w:lineRule="auto"/>
              <w:ind w:left="45" w:hanging="45"/>
              <w:rPr>
                <w:iCs/>
                <w:color w:val="auto"/>
                <w:sz w:val="22"/>
                <w:szCs w:val="22"/>
              </w:rPr>
            </w:pPr>
            <w:r w:rsidRPr="00E44801">
              <w:rPr>
                <w:iCs/>
                <w:color w:val="auto"/>
                <w:sz w:val="22"/>
                <w:szCs w:val="22"/>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271BCD9E" w14:textId="41B4DDD5" w:rsidR="00E14171" w:rsidRPr="00E44801" w:rsidRDefault="00E14171" w:rsidP="000B15E9">
            <w:pPr>
              <w:pStyle w:val="Default"/>
              <w:numPr>
                <w:ilvl w:val="0"/>
                <w:numId w:val="34"/>
              </w:numPr>
              <w:spacing w:before="60" w:after="120" w:line="276" w:lineRule="auto"/>
              <w:ind w:left="45" w:hanging="45"/>
              <w:rPr>
                <w:iCs/>
                <w:color w:val="auto"/>
                <w:sz w:val="22"/>
                <w:szCs w:val="22"/>
              </w:rPr>
            </w:pPr>
            <w:r w:rsidRPr="00E44801">
              <w:rPr>
                <w:iCs/>
                <w:color w:val="auto"/>
                <w:sz w:val="22"/>
                <w:szCs w:val="22"/>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70ABF43F" w14:textId="52AF01C7" w:rsidR="00E14171" w:rsidRPr="00E44801" w:rsidRDefault="00E14171" w:rsidP="000B15E9">
            <w:pPr>
              <w:pStyle w:val="Default"/>
              <w:numPr>
                <w:ilvl w:val="0"/>
                <w:numId w:val="34"/>
              </w:numPr>
              <w:spacing w:before="60" w:after="120" w:line="276" w:lineRule="auto"/>
              <w:ind w:left="45" w:hanging="45"/>
              <w:rPr>
                <w:iCs/>
                <w:color w:val="auto"/>
                <w:sz w:val="22"/>
                <w:szCs w:val="22"/>
              </w:rPr>
            </w:pPr>
            <w:r w:rsidRPr="00E44801">
              <w:rPr>
                <w:iCs/>
                <w:color w:val="auto"/>
                <w:sz w:val="22"/>
                <w:szCs w:val="22"/>
              </w:rPr>
              <w:t xml:space="preserve">Nieodpowiednie warunki mieszkaniowe, w tym osoby </w:t>
            </w:r>
            <w:r w:rsidRPr="00E44801">
              <w:rPr>
                <w:iCs/>
                <w:color w:val="auto"/>
                <w:sz w:val="22"/>
                <w:szCs w:val="22"/>
              </w:rPr>
              <w:lastRenderedPageBreak/>
              <w:t>zamieszkujące konstrukcje tymczasowe/nietrwałe, mieszkania substandardowe - lokale nienadające się do zamieszkania wg standardu krajowego, w warunkach skrajnego przeludnienia;</w:t>
            </w:r>
          </w:p>
          <w:p w14:paraId="0FC60A87" w14:textId="1EE4217C" w:rsidR="00E14171" w:rsidRPr="00E44801" w:rsidRDefault="00E14171" w:rsidP="000B15E9">
            <w:pPr>
              <w:pStyle w:val="Default"/>
              <w:numPr>
                <w:ilvl w:val="0"/>
                <w:numId w:val="34"/>
              </w:numPr>
              <w:spacing w:before="60" w:after="120" w:line="276" w:lineRule="auto"/>
              <w:ind w:left="45" w:hanging="45"/>
              <w:rPr>
                <w:iCs/>
                <w:color w:val="auto"/>
                <w:sz w:val="22"/>
                <w:szCs w:val="22"/>
              </w:rPr>
            </w:pPr>
            <w:r w:rsidRPr="00E44801">
              <w:rPr>
                <w:iCs/>
                <w:color w:val="auto"/>
                <w:sz w:val="22"/>
                <w:szCs w:val="22"/>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3B8E976A"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Osoby dorosłe mieszkające z rodzicami nie powinny być wykazywane we wskaźniku, chyba że wszystkie te osoby są w kryzysie bezdomności lub mieszkają w nieodpowiednich i niebezpiecznych warunkach.</w:t>
            </w:r>
          </w:p>
          <w:p w14:paraId="68538417"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w:t>
            </w:r>
            <w:r w:rsidRPr="00E44801">
              <w:rPr>
                <w:iCs/>
                <w:color w:val="auto"/>
                <w:sz w:val="22"/>
                <w:szCs w:val="22"/>
              </w:rPr>
              <w:lastRenderedPageBreak/>
              <w:t xml:space="preserve">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66FF443D"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p w14:paraId="69E9C8DA" w14:textId="6DAA6578"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Zasady dotyczące możliwości wykorzystania wiarygodnych szacunków przez </w:t>
            </w:r>
            <w:r w:rsidRPr="00E44801">
              <w:rPr>
                <w:iCs/>
                <w:color w:val="auto"/>
                <w:sz w:val="22"/>
                <w:szCs w:val="22"/>
              </w:rPr>
              <w:lastRenderedPageBreak/>
              <w:t>beneficjentów w danym naborze określane są przez właściwą dla programu Instytucję Zarządzającą</w:t>
            </w:r>
            <w:r w:rsidR="00E44801">
              <w:rPr>
                <w:iCs/>
                <w:color w:val="auto"/>
                <w:sz w:val="22"/>
                <w:szCs w:val="22"/>
              </w:rPr>
              <w:t>.</w:t>
            </w:r>
          </w:p>
        </w:tc>
      </w:tr>
      <w:tr w:rsidR="00E14171" w:rsidRPr="00E44801" w14:paraId="31C2AB8D" w14:textId="77777777" w:rsidTr="007E2F96">
        <w:tc>
          <w:tcPr>
            <w:tcW w:w="387" w:type="pct"/>
            <w:shd w:val="clear" w:color="auto" w:fill="auto"/>
            <w:vAlign w:val="center"/>
          </w:tcPr>
          <w:p w14:paraId="369F7787" w14:textId="79CAD56D" w:rsidR="00E14171" w:rsidRPr="00E44801" w:rsidRDefault="00E14171" w:rsidP="002A38B3">
            <w:pPr>
              <w:pStyle w:val="Akapitzlist"/>
              <w:numPr>
                <w:ilvl w:val="0"/>
                <w:numId w:val="41"/>
              </w:numPr>
              <w:tabs>
                <w:tab w:val="left" w:pos="360"/>
              </w:tabs>
              <w:rPr>
                <w:rFonts w:ascii="Arial" w:hAnsi="Arial" w:cs="Arial"/>
                <w:iCs/>
              </w:rPr>
            </w:pPr>
          </w:p>
        </w:tc>
        <w:tc>
          <w:tcPr>
            <w:tcW w:w="1182" w:type="pct"/>
            <w:shd w:val="clear" w:color="auto" w:fill="auto"/>
            <w:vAlign w:val="center"/>
          </w:tcPr>
          <w:p w14:paraId="1EB94372" w14:textId="54F0C069" w:rsidR="00E14171" w:rsidRPr="00E44801" w:rsidRDefault="00E14171" w:rsidP="0093787D">
            <w:pPr>
              <w:spacing w:before="240" w:after="0"/>
              <w:rPr>
                <w:rFonts w:ascii="Arial" w:hAnsi="Arial" w:cs="Arial"/>
                <w:iCs/>
                <w:lang w:eastAsia="pl-PL"/>
              </w:rPr>
            </w:pPr>
            <w:r w:rsidRPr="00E44801">
              <w:rPr>
                <w:rFonts w:ascii="Arial" w:hAnsi="Arial" w:cs="Arial"/>
                <w:iCs/>
                <w:lang w:eastAsia="pl-PL"/>
              </w:rPr>
              <w:t>Liczba objętych wsparciem podmiotów administracji publicznej lub służb publicznych na szczeblu krajowym, regionalnym lub lokalnym</w:t>
            </w:r>
            <w:r w:rsidR="00246F02">
              <w:rPr>
                <w:rFonts w:ascii="Arial" w:hAnsi="Arial" w:cs="Arial"/>
                <w:iCs/>
                <w:lang w:eastAsia="pl-PL"/>
              </w:rPr>
              <w:t>.</w:t>
            </w:r>
          </w:p>
        </w:tc>
        <w:tc>
          <w:tcPr>
            <w:tcW w:w="850" w:type="pct"/>
            <w:shd w:val="clear" w:color="auto" w:fill="auto"/>
            <w:vAlign w:val="center"/>
          </w:tcPr>
          <w:p w14:paraId="445D383E" w14:textId="77777777" w:rsidR="00E14171" w:rsidRPr="00E44801" w:rsidRDefault="00E14171" w:rsidP="0093787D">
            <w:pPr>
              <w:spacing w:before="240" w:after="0"/>
              <w:jc w:val="center"/>
              <w:rPr>
                <w:rFonts w:ascii="Arial" w:hAnsi="Arial" w:cs="Arial"/>
                <w:iCs/>
              </w:rPr>
            </w:pPr>
            <w:r w:rsidRPr="00E44801">
              <w:rPr>
                <w:rFonts w:ascii="Arial" w:hAnsi="Arial" w:cs="Arial"/>
                <w:iCs/>
              </w:rPr>
              <w:t>podmioty</w:t>
            </w:r>
          </w:p>
        </w:tc>
        <w:tc>
          <w:tcPr>
            <w:tcW w:w="858" w:type="pct"/>
            <w:shd w:val="clear" w:color="auto" w:fill="auto"/>
            <w:vAlign w:val="center"/>
          </w:tcPr>
          <w:p w14:paraId="47437578" w14:textId="01D7E2FE" w:rsidR="00E14171" w:rsidRPr="00E44801" w:rsidRDefault="00E44801" w:rsidP="0093787D">
            <w:pPr>
              <w:spacing w:before="240" w:after="0"/>
              <w:jc w:val="center"/>
              <w:rPr>
                <w:rFonts w:ascii="Arial" w:hAnsi="Arial" w:cs="Arial"/>
                <w:iCs/>
              </w:rPr>
            </w:pPr>
            <w:r w:rsidRPr="00E44801">
              <w:rPr>
                <w:rFonts w:ascii="Arial" w:hAnsi="Arial" w:cs="Arial"/>
                <w:iCs/>
              </w:rPr>
              <w:t xml:space="preserve">wskaźnik </w:t>
            </w:r>
            <w:r w:rsidR="00E14171" w:rsidRPr="00E44801">
              <w:rPr>
                <w:rFonts w:ascii="Arial" w:hAnsi="Arial" w:cs="Arial"/>
                <w:iCs/>
              </w:rPr>
              <w:t>produkt</w:t>
            </w:r>
            <w:r w:rsidRPr="00E44801">
              <w:rPr>
                <w:rFonts w:ascii="Arial" w:hAnsi="Arial" w:cs="Arial"/>
                <w:iCs/>
              </w:rPr>
              <w:t>u</w:t>
            </w:r>
          </w:p>
        </w:tc>
        <w:tc>
          <w:tcPr>
            <w:tcW w:w="1723" w:type="pct"/>
            <w:shd w:val="clear" w:color="auto" w:fill="auto"/>
            <w:vAlign w:val="center"/>
          </w:tcPr>
          <w:p w14:paraId="01FE595C"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Za służby publiczne uznaje się publiczne lub prywatne podmioty, które świadczą usługi publiczne (w przypadku usług publicznych zlecanych przez państwo podmiotom prywatnym lub świadczonych w ramach partnerstwa publiczno-prywatnego).</w:t>
            </w:r>
          </w:p>
          <w:p w14:paraId="15B6CCF5" w14:textId="0FCBB175"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20E17EC4"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lastRenderedPageBreak/>
              <w:t>Informacje dotyczące podmiotów objętych wsparciem powinny pochodzić z dokumentów administracyjnych np. z umów o dofinansowanie.</w:t>
            </w:r>
          </w:p>
          <w:p w14:paraId="05C8F2AF"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Do wskaźnika wliczane są tylko te podmioty, dla których można wyróżnić wydatki (nie dotyczy pomocy technicznej).</w:t>
            </w:r>
          </w:p>
          <w:p w14:paraId="0912D003"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Podmiot jest wliczany do wskaźnika w momencie rozpoczęcia udziału w projekcie.</w:t>
            </w:r>
          </w:p>
        </w:tc>
      </w:tr>
      <w:tr w:rsidR="00E14171" w:rsidRPr="00E44801" w14:paraId="0F96EA9D" w14:textId="77777777" w:rsidTr="007E2F96">
        <w:tc>
          <w:tcPr>
            <w:tcW w:w="387" w:type="pct"/>
            <w:shd w:val="clear" w:color="auto" w:fill="auto"/>
            <w:vAlign w:val="center"/>
          </w:tcPr>
          <w:p w14:paraId="143C1D5D" w14:textId="13021DA7" w:rsidR="00E14171" w:rsidRPr="00E44801" w:rsidRDefault="00E14171" w:rsidP="002A38B3">
            <w:pPr>
              <w:pStyle w:val="Akapitzlist"/>
              <w:numPr>
                <w:ilvl w:val="0"/>
                <w:numId w:val="41"/>
              </w:numPr>
              <w:tabs>
                <w:tab w:val="left" w:pos="360"/>
              </w:tabs>
              <w:rPr>
                <w:rFonts w:ascii="Arial" w:hAnsi="Arial" w:cs="Arial"/>
                <w:iCs/>
              </w:rPr>
            </w:pPr>
          </w:p>
        </w:tc>
        <w:tc>
          <w:tcPr>
            <w:tcW w:w="1182" w:type="pct"/>
            <w:shd w:val="clear" w:color="auto" w:fill="auto"/>
            <w:vAlign w:val="center"/>
          </w:tcPr>
          <w:p w14:paraId="613F23CB" w14:textId="33126618" w:rsidR="00E14171" w:rsidRPr="00E44801" w:rsidRDefault="00E14171" w:rsidP="0093787D">
            <w:pPr>
              <w:spacing w:before="240" w:after="0"/>
              <w:rPr>
                <w:rFonts w:ascii="Arial" w:hAnsi="Arial" w:cs="Arial"/>
                <w:iCs/>
                <w:lang w:eastAsia="pl-PL"/>
              </w:rPr>
            </w:pPr>
            <w:r w:rsidRPr="00E44801">
              <w:rPr>
                <w:rFonts w:ascii="Arial" w:hAnsi="Arial" w:cs="Arial"/>
                <w:iCs/>
                <w:lang w:eastAsia="pl-PL"/>
              </w:rPr>
              <w:t>Liczba objętych wsparciem mikro-, małych i średnich przedsiębiorstw (w tym spółdzielni i przedsiębiorstw społecznych)</w:t>
            </w:r>
            <w:r w:rsidR="00246F02">
              <w:rPr>
                <w:rFonts w:ascii="Arial" w:hAnsi="Arial" w:cs="Arial"/>
                <w:iCs/>
                <w:lang w:eastAsia="pl-PL"/>
              </w:rPr>
              <w:t>.</w:t>
            </w:r>
          </w:p>
        </w:tc>
        <w:tc>
          <w:tcPr>
            <w:tcW w:w="850" w:type="pct"/>
            <w:shd w:val="clear" w:color="auto" w:fill="auto"/>
            <w:vAlign w:val="center"/>
          </w:tcPr>
          <w:p w14:paraId="4E4D06A0" w14:textId="77777777" w:rsidR="00E14171" w:rsidRPr="00E44801" w:rsidRDefault="00E14171" w:rsidP="0093787D">
            <w:pPr>
              <w:spacing w:before="240" w:after="0"/>
              <w:jc w:val="center"/>
              <w:rPr>
                <w:rFonts w:ascii="Arial" w:hAnsi="Arial" w:cs="Arial"/>
                <w:iCs/>
              </w:rPr>
            </w:pPr>
            <w:r w:rsidRPr="00E44801">
              <w:rPr>
                <w:rFonts w:ascii="Arial" w:hAnsi="Arial" w:cs="Arial"/>
                <w:iCs/>
              </w:rPr>
              <w:t>przedsiębiorstwa</w:t>
            </w:r>
          </w:p>
        </w:tc>
        <w:tc>
          <w:tcPr>
            <w:tcW w:w="858" w:type="pct"/>
            <w:shd w:val="clear" w:color="auto" w:fill="auto"/>
            <w:vAlign w:val="center"/>
          </w:tcPr>
          <w:p w14:paraId="7C0406D5" w14:textId="446BC40C" w:rsidR="00E14171" w:rsidRPr="00E44801" w:rsidRDefault="00E44801" w:rsidP="0093787D">
            <w:pPr>
              <w:spacing w:before="240" w:after="0"/>
              <w:jc w:val="center"/>
              <w:rPr>
                <w:rFonts w:ascii="Arial" w:hAnsi="Arial" w:cs="Arial"/>
                <w:iCs/>
              </w:rPr>
            </w:pPr>
            <w:r w:rsidRPr="00E44801">
              <w:rPr>
                <w:rFonts w:ascii="Arial" w:hAnsi="Arial" w:cs="Arial"/>
                <w:iCs/>
              </w:rPr>
              <w:t xml:space="preserve">wskaźnik </w:t>
            </w:r>
            <w:r w:rsidR="00E14171" w:rsidRPr="00E44801">
              <w:rPr>
                <w:rFonts w:ascii="Arial" w:hAnsi="Arial" w:cs="Arial"/>
                <w:iCs/>
              </w:rPr>
              <w:t>produkt</w:t>
            </w:r>
            <w:r w:rsidRPr="00E44801">
              <w:rPr>
                <w:rFonts w:ascii="Arial" w:hAnsi="Arial" w:cs="Arial"/>
                <w:iCs/>
              </w:rPr>
              <w:t>u</w:t>
            </w:r>
          </w:p>
        </w:tc>
        <w:tc>
          <w:tcPr>
            <w:tcW w:w="1723" w:type="pct"/>
            <w:shd w:val="clear" w:color="auto" w:fill="auto"/>
            <w:vAlign w:val="center"/>
          </w:tcPr>
          <w:p w14:paraId="418709FF"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Za przedsiębiorstwo uważa się podmiot prowadzący działalność gospodarczą bez względu na jego formę prawną, w tym spółdzielnie i przedsiębiorstwa społeczne.</w:t>
            </w:r>
          </w:p>
          <w:p w14:paraId="749755C6"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6CC27A79"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Definicje na podstawie: Zalecenie Komisji z dnia 6 maja 2003 r. dotyczące definicji mikroprzedsiębiorstw oraz małych i średnich przedsiębiorstw (2003/361/WE).</w:t>
            </w:r>
          </w:p>
          <w:p w14:paraId="7BE1635F"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Dodatkowe informacje:</w:t>
            </w:r>
          </w:p>
          <w:p w14:paraId="10AE379D"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 xml:space="preserve">W kategorii mikroprzedsiębiorstwa należy </w:t>
            </w:r>
            <w:r w:rsidRPr="00E44801">
              <w:rPr>
                <w:iCs/>
                <w:color w:val="auto"/>
                <w:sz w:val="22"/>
                <w:szCs w:val="22"/>
              </w:rPr>
              <w:lastRenderedPageBreak/>
              <w:t>uwzględnić również osoby prowadzące działalność na własny rachunek.</w:t>
            </w:r>
          </w:p>
          <w:p w14:paraId="06983E82"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19A2A4BF" w14:textId="77777777" w:rsidR="00E14171" w:rsidRPr="00E44801" w:rsidRDefault="00E14171" w:rsidP="000B15E9">
            <w:pPr>
              <w:pStyle w:val="Default"/>
              <w:spacing w:before="60" w:after="120" w:line="276" w:lineRule="auto"/>
              <w:rPr>
                <w:iCs/>
                <w:color w:val="auto"/>
                <w:sz w:val="22"/>
                <w:szCs w:val="22"/>
              </w:rPr>
            </w:pPr>
            <w:r w:rsidRPr="00E44801">
              <w:rPr>
                <w:iCs/>
                <w:color w:val="auto"/>
                <w:sz w:val="22"/>
                <w:szCs w:val="22"/>
              </w:rPr>
              <w:t>Podmiot jest wliczany do wskaźnika w momencie rozpoczęcia udziału w projekcie.</w:t>
            </w:r>
          </w:p>
        </w:tc>
      </w:tr>
    </w:tbl>
    <w:p w14:paraId="5F62041A" w14:textId="77777777" w:rsidR="00B94070" w:rsidRPr="00E44801" w:rsidRDefault="00B94070" w:rsidP="002A38B3">
      <w:pPr>
        <w:tabs>
          <w:tab w:val="left" w:pos="360"/>
        </w:tabs>
        <w:rPr>
          <w:rFonts w:ascii="Arial" w:hAnsi="Arial" w:cs="Arial"/>
          <w:iCs/>
        </w:rPr>
      </w:pPr>
    </w:p>
    <w:sectPr w:rsidR="00B94070" w:rsidRPr="00E44801" w:rsidSect="00522D7A">
      <w:footerReference w:type="default" r:id="rId9"/>
      <w:headerReference w:type="firs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5714" w14:textId="77777777" w:rsidR="00F25603" w:rsidRDefault="00F25603" w:rsidP="00C242A1">
      <w:pPr>
        <w:spacing w:after="0" w:line="240" w:lineRule="auto"/>
      </w:pPr>
      <w:r>
        <w:separator/>
      </w:r>
    </w:p>
  </w:endnote>
  <w:endnote w:type="continuationSeparator" w:id="0">
    <w:p w14:paraId="7CEB9CD6" w14:textId="77777777" w:rsidR="00F25603" w:rsidRDefault="00F25603" w:rsidP="00C2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2394"/>
      <w:docPartObj>
        <w:docPartGallery w:val="Page Numbers (Bottom of Page)"/>
        <w:docPartUnique/>
      </w:docPartObj>
    </w:sdtPr>
    <w:sdtEndPr>
      <w:rPr>
        <w:rFonts w:ascii="Arial" w:hAnsi="Arial" w:cs="Arial"/>
        <w:sz w:val="24"/>
        <w:szCs w:val="24"/>
      </w:rPr>
    </w:sdtEndPr>
    <w:sdtContent>
      <w:p w14:paraId="4EF9D36C" w14:textId="7F8EE11C" w:rsidR="00A25DC6" w:rsidRPr="00E229AB" w:rsidRDefault="003161F8">
        <w:pPr>
          <w:pStyle w:val="Stopka"/>
          <w:jc w:val="right"/>
          <w:rPr>
            <w:rFonts w:ascii="Arial" w:hAnsi="Arial" w:cs="Arial"/>
            <w:sz w:val="24"/>
            <w:szCs w:val="24"/>
          </w:rPr>
        </w:pPr>
        <w:r w:rsidRPr="00E229AB">
          <w:rPr>
            <w:rFonts w:ascii="Arial" w:hAnsi="Arial" w:cs="Arial"/>
            <w:sz w:val="24"/>
            <w:szCs w:val="24"/>
          </w:rPr>
          <w:fldChar w:fldCharType="begin"/>
        </w:r>
        <w:r w:rsidR="00267845" w:rsidRPr="00E229AB">
          <w:rPr>
            <w:rFonts w:ascii="Arial" w:hAnsi="Arial" w:cs="Arial"/>
            <w:sz w:val="24"/>
            <w:szCs w:val="24"/>
          </w:rPr>
          <w:instrText xml:space="preserve"> PAGE   \* MERGEFORMAT </w:instrText>
        </w:r>
        <w:r w:rsidRPr="00E229AB">
          <w:rPr>
            <w:rFonts w:ascii="Arial" w:hAnsi="Arial" w:cs="Arial"/>
            <w:sz w:val="24"/>
            <w:szCs w:val="24"/>
          </w:rPr>
          <w:fldChar w:fldCharType="separate"/>
        </w:r>
        <w:r w:rsidR="00067202" w:rsidRPr="00E229AB">
          <w:rPr>
            <w:rFonts w:ascii="Arial" w:hAnsi="Arial" w:cs="Arial"/>
            <w:noProof/>
            <w:sz w:val="24"/>
            <w:szCs w:val="24"/>
          </w:rPr>
          <w:t>3</w:t>
        </w:r>
        <w:r w:rsidRPr="00E229AB">
          <w:rPr>
            <w:rFonts w:ascii="Arial" w:hAnsi="Arial" w:cs="Arial"/>
            <w:noProof/>
            <w:sz w:val="24"/>
            <w:szCs w:val="24"/>
          </w:rPr>
          <w:fldChar w:fldCharType="end"/>
        </w:r>
      </w:p>
    </w:sdtContent>
  </w:sdt>
  <w:p w14:paraId="6130AC66" w14:textId="77777777" w:rsidR="00A25DC6" w:rsidRDefault="00A25D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851D" w14:textId="77777777" w:rsidR="00F25603" w:rsidRDefault="00F25603" w:rsidP="00C242A1">
      <w:pPr>
        <w:spacing w:after="0" w:line="240" w:lineRule="auto"/>
      </w:pPr>
      <w:r>
        <w:separator/>
      </w:r>
    </w:p>
  </w:footnote>
  <w:footnote w:type="continuationSeparator" w:id="0">
    <w:p w14:paraId="0FC5862D" w14:textId="77777777" w:rsidR="00F25603" w:rsidRDefault="00F25603" w:rsidP="00C242A1">
      <w:pPr>
        <w:spacing w:after="0" w:line="240" w:lineRule="auto"/>
      </w:pPr>
      <w:r>
        <w:continuationSeparator/>
      </w:r>
    </w:p>
  </w:footnote>
  <w:footnote w:id="1">
    <w:p w14:paraId="564E3D7B" w14:textId="04E58E9F" w:rsidR="000B50A2" w:rsidRDefault="000B50A2" w:rsidP="000B50A2">
      <w:pPr>
        <w:pStyle w:val="Tekstprzypisudolnego"/>
      </w:pPr>
      <w:r>
        <w:rPr>
          <w:rStyle w:val="Odwoanieprzypisudolnego"/>
        </w:rPr>
        <w:footnoteRef/>
      </w:r>
      <w:r>
        <w:t xml:space="preserve"> Art. 2. 1. Mniejszością narodową, w rozumieniu ustawy, jest </w:t>
      </w:r>
      <w:r w:rsidRPr="00BC2258">
        <w:rPr>
          <w:b/>
          <w:bCs/>
        </w:rPr>
        <w:t>grupa obywateli polskich</w:t>
      </w:r>
      <w:r>
        <w:t>, która spełnia łącznie następujące warunki:</w:t>
      </w:r>
    </w:p>
    <w:p w14:paraId="12996CBB" w14:textId="77777777" w:rsidR="000B50A2" w:rsidRDefault="000B50A2" w:rsidP="000B50A2">
      <w:pPr>
        <w:pStyle w:val="Tekstprzypisudolnego"/>
      </w:pPr>
      <w:r>
        <w:t>1) jest mniej liczebna od pozostałej części ludności Rzeczypospolitej Polskiej;</w:t>
      </w:r>
    </w:p>
    <w:p w14:paraId="787E2414" w14:textId="0D4AB187" w:rsidR="000B50A2" w:rsidRDefault="000B50A2" w:rsidP="000B50A2">
      <w:pPr>
        <w:pStyle w:val="Tekstprzypisudolnego"/>
      </w:pPr>
      <w:r>
        <w:t>2) w sposób istotny odróżnia się od pozostałych obywateli językiem, kulturą lub tradycją;</w:t>
      </w:r>
    </w:p>
    <w:p w14:paraId="1A3B163E" w14:textId="77777777" w:rsidR="000B50A2" w:rsidRDefault="000B50A2" w:rsidP="000B50A2">
      <w:pPr>
        <w:pStyle w:val="Tekstprzypisudolnego"/>
      </w:pPr>
      <w:r>
        <w:t>3) dąży do zachowania swojego języka, kultury lub tradycji;</w:t>
      </w:r>
    </w:p>
    <w:p w14:paraId="5A4BBC0C" w14:textId="6EDEBA9C" w:rsidR="000B50A2" w:rsidRDefault="000B50A2" w:rsidP="000B50A2">
      <w:pPr>
        <w:pStyle w:val="Tekstprzypisudolnego"/>
      </w:pPr>
      <w:r>
        <w:t>4) ma świadomość własnej historycznej wspólnoty narodowej i jest ukierunkowana na jej wyrażanie i ochronę;</w:t>
      </w:r>
    </w:p>
    <w:p w14:paraId="2FA39C52" w14:textId="2CC4C622" w:rsidR="000B50A2" w:rsidRDefault="000B50A2" w:rsidP="000B50A2">
      <w:pPr>
        <w:pStyle w:val="Tekstprzypisudolnego"/>
      </w:pPr>
      <w:r>
        <w:t>5) jej przodkowie zamieszkiwali obecne terytorium Rzeczypospolitej Polskiej od co najmniej 100 lat;</w:t>
      </w:r>
    </w:p>
    <w:p w14:paraId="759FA30A" w14:textId="32B0C6A3" w:rsidR="000B50A2" w:rsidRDefault="000B50A2" w:rsidP="000B50A2">
      <w:pPr>
        <w:pStyle w:val="Tekstprzypisudolnego"/>
      </w:pPr>
      <w:r>
        <w:t>6) utożsamia się z narodem zorganizowanym we własnym państwie.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8E26" w14:textId="7D79880E" w:rsidR="00B03498" w:rsidRDefault="00B75B9E">
    <w:pPr>
      <w:pStyle w:val="Nagwek"/>
    </w:pPr>
    <w:r>
      <w:rPr>
        <w:noProof/>
      </w:rPr>
      <w:drawing>
        <wp:inline distT="0" distB="0" distL="0" distR="0" wp14:anchorId="2EC80CEE" wp14:editId="1930BAC3">
          <wp:extent cx="5760720" cy="612074"/>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20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3"/>
    <w:multiLevelType w:val="hybridMultilevel"/>
    <w:tmpl w:val="AD24D554"/>
    <w:lvl w:ilvl="0" w:tplc="FFFFFFFF">
      <w:start w:val="2"/>
      <w:numFmt w:val="decimal"/>
      <w:lvlText w:val="%1."/>
      <w:lvlJc w:val="left"/>
    </w:lvl>
    <w:lvl w:ilvl="1" w:tplc="FFFFFFFF">
      <w:start w:val="1"/>
      <w:numFmt w:val="upperLetter"/>
      <w:lvlText w:val="%2"/>
      <w:lvlJc w:val="left"/>
    </w:lvl>
    <w:lvl w:ilvl="2" w:tplc="8572F39A">
      <w:start w:val="1"/>
      <w:numFmt w:val="bullet"/>
      <w:lvlText w:val="−"/>
      <w:lvlJc w:val="left"/>
      <w:rPr>
        <w:rFonts w:ascii="Calibri" w:hAnsi="Calibri" w:cs="Calibri"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4"/>
    <w:multiLevelType w:val="hybridMultilevel"/>
    <w:tmpl w:val="21FE77BA"/>
    <w:lvl w:ilvl="0" w:tplc="840AFB40">
      <w:start w:val="1"/>
      <w:numFmt w:val="bullet"/>
      <w:lvlText w:val="−"/>
      <w:lvlJc w:val="left"/>
      <w:rPr>
        <w:rFonts w:ascii="Calibri" w:hAnsi="Calibri" w:cs="Calibr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851CD8"/>
    <w:multiLevelType w:val="hybridMultilevel"/>
    <w:tmpl w:val="4F8AD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56031"/>
    <w:multiLevelType w:val="hybridMultilevel"/>
    <w:tmpl w:val="1CEE1F5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5537566"/>
    <w:multiLevelType w:val="hybridMultilevel"/>
    <w:tmpl w:val="59AC7552"/>
    <w:lvl w:ilvl="0" w:tplc="43CC38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663A41"/>
    <w:multiLevelType w:val="hybridMultilevel"/>
    <w:tmpl w:val="3C1E9F5A"/>
    <w:lvl w:ilvl="0" w:tplc="2EA038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A55AB0"/>
    <w:multiLevelType w:val="hybridMultilevel"/>
    <w:tmpl w:val="A8065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E77A90"/>
    <w:multiLevelType w:val="hybridMultilevel"/>
    <w:tmpl w:val="76C61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50C93"/>
    <w:multiLevelType w:val="hybridMultilevel"/>
    <w:tmpl w:val="8FDEC392"/>
    <w:lvl w:ilvl="0" w:tplc="6770C7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18357A"/>
    <w:multiLevelType w:val="hybridMultilevel"/>
    <w:tmpl w:val="76FC03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A4352A"/>
    <w:multiLevelType w:val="hybridMultilevel"/>
    <w:tmpl w:val="785258E0"/>
    <w:lvl w:ilvl="0" w:tplc="04150001">
      <w:start w:val="1"/>
      <w:numFmt w:val="bullet"/>
      <w:lvlText w:val=""/>
      <w:lvlJc w:val="left"/>
      <w:pPr>
        <w:ind w:left="1080" w:hanging="720"/>
      </w:pPr>
      <w:rPr>
        <w:rFonts w:ascii="Symbol" w:hAnsi="Symbo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6256F"/>
    <w:multiLevelType w:val="hybridMultilevel"/>
    <w:tmpl w:val="B7304458"/>
    <w:lvl w:ilvl="0" w:tplc="534E71E2">
      <w:start w:val="1"/>
      <w:numFmt w:val="decimal"/>
      <w:lvlText w:val="%1."/>
      <w:lvlJc w:val="left"/>
      <w:pPr>
        <w:ind w:left="360" w:hanging="360"/>
      </w:pPr>
      <w:rPr>
        <w:rFonts w:hint="default"/>
      </w:rPr>
    </w:lvl>
    <w:lvl w:ilvl="1" w:tplc="3C5AD3A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5D94E81"/>
    <w:multiLevelType w:val="hybridMultilevel"/>
    <w:tmpl w:val="E1F87D6C"/>
    <w:lvl w:ilvl="0" w:tplc="2EA038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502F60"/>
    <w:multiLevelType w:val="hybridMultilevel"/>
    <w:tmpl w:val="9328D616"/>
    <w:lvl w:ilvl="0" w:tplc="E40E92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A736CB"/>
    <w:multiLevelType w:val="hybridMultilevel"/>
    <w:tmpl w:val="A446B084"/>
    <w:lvl w:ilvl="0" w:tplc="279CCF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88A29E3"/>
    <w:multiLevelType w:val="hybridMultilevel"/>
    <w:tmpl w:val="62BE80A0"/>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2C218B"/>
    <w:multiLevelType w:val="hybridMultilevel"/>
    <w:tmpl w:val="20060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173D5C"/>
    <w:multiLevelType w:val="hybridMultilevel"/>
    <w:tmpl w:val="67129CF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EE66F7"/>
    <w:multiLevelType w:val="hybridMultilevel"/>
    <w:tmpl w:val="B02E79C2"/>
    <w:lvl w:ilvl="0" w:tplc="2EA03896">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9" w15:restartNumberingAfterBreak="0">
    <w:nsid w:val="3BC64C41"/>
    <w:multiLevelType w:val="hybridMultilevel"/>
    <w:tmpl w:val="FBA209EA"/>
    <w:lvl w:ilvl="0" w:tplc="C40C9146">
      <w:start w:val="1"/>
      <w:numFmt w:val="decimal"/>
      <w:lvlText w:val="%1."/>
      <w:lvlJc w:val="left"/>
      <w:pPr>
        <w:ind w:left="360" w:hanging="360"/>
      </w:pPr>
      <w:rPr>
        <w:rFonts w:cs="Times New Roman" w:hint="default"/>
        <w:b w:val="0"/>
        <w:i w:val="0"/>
        <w:color w:val="auto"/>
        <w:sz w:val="24"/>
        <w:szCs w:val="24"/>
      </w:rPr>
    </w:lvl>
    <w:lvl w:ilvl="1" w:tplc="D3700742">
      <w:start w:val="2"/>
      <w:numFmt w:val="decimal"/>
      <w:lvlText w:val="%2."/>
      <w:lvlJc w:val="left"/>
      <w:pPr>
        <w:tabs>
          <w:tab w:val="num" w:pos="1440"/>
        </w:tabs>
        <w:ind w:left="1440" w:hanging="360"/>
      </w:pPr>
      <w:rPr>
        <w:rFonts w:hint="default"/>
        <w:b w:val="0"/>
        <w:i w:val="0"/>
        <w:sz w:val="22"/>
        <w:szCs w:val="22"/>
      </w:rPr>
    </w:lvl>
    <w:lvl w:ilvl="2" w:tplc="52086356">
      <w:start w:val="1"/>
      <w:numFmt w:val="lowerLetter"/>
      <w:lvlText w:val="%3)"/>
      <w:lvlJc w:val="left"/>
      <w:pPr>
        <w:tabs>
          <w:tab w:val="num" w:pos="2340"/>
        </w:tabs>
        <w:ind w:left="2340" w:hanging="360"/>
      </w:pPr>
      <w:rPr>
        <w:rFonts w:cs="Times New Roman" w:hint="default"/>
        <w:b w:val="0"/>
        <w:i w:val="0"/>
        <w:sz w:val="22"/>
        <w:szCs w:val="22"/>
      </w:rPr>
    </w:lvl>
    <w:lvl w:ilvl="3" w:tplc="F1B0A982">
      <w:start w:val="4"/>
      <w:numFmt w:val="decimal"/>
      <w:lvlText w:val="%4."/>
      <w:lvlJc w:val="left"/>
      <w:pPr>
        <w:tabs>
          <w:tab w:val="num" w:pos="2880"/>
        </w:tabs>
        <w:ind w:left="2880" w:hanging="360"/>
      </w:pPr>
      <w:rPr>
        <w:rFonts w:hint="default"/>
        <w:b w:val="0"/>
        <w:i w:val="0"/>
        <w:sz w:val="22"/>
        <w:szCs w:val="22"/>
      </w:rPr>
    </w:lvl>
    <w:lvl w:ilvl="4" w:tplc="DCD45B08">
      <w:numFmt w:val="bullet"/>
      <w:lvlText w:val="•"/>
      <w:lvlJc w:val="left"/>
      <w:pPr>
        <w:ind w:left="3600" w:hanging="360"/>
      </w:pPr>
      <w:rPr>
        <w:rFonts w:ascii="Arial" w:eastAsia="Times New Roman" w:hAnsi="Arial" w:cs="Arial"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C9C5CC2"/>
    <w:multiLevelType w:val="hybridMultilevel"/>
    <w:tmpl w:val="AA503418"/>
    <w:lvl w:ilvl="0" w:tplc="00000012">
      <w:start w:val="1"/>
      <w:numFmt w:val="bullet"/>
      <w:lvlText w:val="–"/>
      <w:lvlJc w:val="left"/>
      <w:pPr>
        <w:ind w:left="1440" w:hanging="360"/>
      </w:pPr>
      <w:rPr>
        <w:rFonts w:ascii="Times New Roman" w:hAnsi="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D220481"/>
    <w:multiLevelType w:val="hybridMultilevel"/>
    <w:tmpl w:val="D57A6700"/>
    <w:lvl w:ilvl="0" w:tplc="04150001">
      <w:start w:val="1"/>
      <w:numFmt w:val="bullet"/>
      <w:lvlText w:val=""/>
      <w:lvlJc w:val="left"/>
      <w:pPr>
        <w:ind w:left="1080" w:hanging="720"/>
      </w:pPr>
      <w:rPr>
        <w:rFonts w:ascii="Symbol" w:hAnsi="Symbo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6174A0"/>
    <w:multiLevelType w:val="hybridMultilevel"/>
    <w:tmpl w:val="6AD033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1DA1179"/>
    <w:multiLevelType w:val="hybridMultilevel"/>
    <w:tmpl w:val="F7E4ABF0"/>
    <w:lvl w:ilvl="0" w:tplc="43CC38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C8776E"/>
    <w:multiLevelType w:val="hybridMultilevel"/>
    <w:tmpl w:val="76FC03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7E26ACD"/>
    <w:multiLevelType w:val="hybridMultilevel"/>
    <w:tmpl w:val="89644D88"/>
    <w:lvl w:ilvl="0" w:tplc="04150017">
      <w:start w:val="1"/>
      <w:numFmt w:val="lowerLetter"/>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A9A366A"/>
    <w:multiLevelType w:val="hybridMultilevel"/>
    <w:tmpl w:val="3E546B90"/>
    <w:lvl w:ilvl="0" w:tplc="0415000F">
      <w:start w:val="1"/>
      <w:numFmt w:val="decimal"/>
      <w:lvlText w:val="%1."/>
      <w:lvlJc w:val="left"/>
      <w:pPr>
        <w:ind w:left="884" w:hanging="360"/>
      </w:pPr>
    </w:lvl>
    <w:lvl w:ilvl="1" w:tplc="04150019" w:tentative="1">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27"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2968"/>
    <w:multiLevelType w:val="hybridMultilevel"/>
    <w:tmpl w:val="1AA80480"/>
    <w:lvl w:ilvl="0" w:tplc="20BE9E2A">
      <w:start w:val="1"/>
      <w:numFmt w:val="lowerLetter"/>
      <w:lvlText w:val="%1)"/>
      <w:lvlJc w:val="left"/>
      <w:pPr>
        <w:ind w:left="1080" w:hanging="72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54450DD"/>
    <w:multiLevelType w:val="hybridMultilevel"/>
    <w:tmpl w:val="686A4588"/>
    <w:lvl w:ilvl="0" w:tplc="3FECA7CC">
      <w:start w:val="1"/>
      <w:numFmt w:val="decimal"/>
      <w:suff w:val="nothing"/>
      <w:lvlText w:val="%1."/>
      <w:lvlJc w:val="left"/>
      <w:pPr>
        <w:ind w:left="426"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C133CB"/>
    <w:multiLevelType w:val="hybridMultilevel"/>
    <w:tmpl w:val="BF523580"/>
    <w:lvl w:ilvl="0" w:tplc="66509FB8">
      <w:start w:val="1"/>
      <w:numFmt w:val="decimal"/>
      <w:lvlText w:val="%1."/>
      <w:lvlJc w:val="left"/>
      <w:pPr>
        <w:ind w:left="0" w:firstLine="448"/>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34" w15:restartNumberingAfterBreak="0">
    <w:nsid w:val="5C7F3D9E"/>
    <w:multiLevelType w:val="hybridMultilevel"/>
    <w:tmpl w:val="45D698A8"/>
    <w:lvl w:ilvl="0" w:tplc="EF94B8A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4D69D4"/>
    <w:multiLevelType w:val="hybridMultilevel"/>
    <w:tmpl w:val="8024855C"/>
    <w:lvl w:ilvl="0" w:tplc="AD88C6D0">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36" w15:restartNumberingAfterBreak="0">
    <w:nsid w:val="5FD23EBB"/>
    <w:multiLevelType w:val="hybridMultilevel"/>
    <w:tmpl w:val="C7940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4E25F9"/>
    <w:multiLevelType w:val="hybridMultilevel"/>
    <w:tmpl w:val="17A804BC"/>
    <w:lvl w:ilvl="0" w:tplc="00000012">
      <w:start w:val="1"/>
      <w:numFmt w:val="bullet"/>
      <w:lvlText w:val="–"/>
      <w:lvlJc w:val="left"/>
      <w:pPr>
        <w:ind w:left="1080" w:hanging="720"/>
      </w:pPr>
      <w:rPr>
        <w:rFonts w:ascii="Times New Roman" w:hAnsi="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75739B"/>
    <w:multiLevelType w:val="hybridMultilevel"/>
    <w:tmpl w:val="E432EC9E"/>
    <w:lvl w:ilvl="0" w:tplc="0000001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2761C1A"/>
    <w:multiLevelType w:val="hybridMultilevel"/>
    <w:tmpl w:val="76F06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E27520"/>
    <w:multiLevelType w:val="hybridMultilevel"/>
    <w:tmpl w:val="6B3EAF9E"/>
    <w:lvl w:ilvl="0" w:tplc="5E78A0EC">
      <w:start w:val="1"/>
      <w:numFmt w:val="decimal"/>
      <w:lvlText w:val="%1."/>
      <w:lvlJc w:val="left"/>
      <w:pPr>
        <w:ind w:left="0" w:firstLine="44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38B656D"/>
    <w:multiLevelType w:val="hybridMultilevel"/>
    <w:tmpl w:val="D348F5F8"/>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43691E"/>
    <w:multiLevelType w:val="hybridMultilevel"/>
    <w:tmpl w:val="0090E508"/>
    <w:lvl w:ilvl="0" w:tplc="8ADEE580">
      <w:start w:val="1"/>
      <w:numFmt w:val="lowerRoman"/>
      <w:lvlText w:val="%1."/>
      <w:lvlJc w:val="left"/>
      <w:pPr>
        <w:ind w:left="1080" w:hanging="72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DC397C"/>
    <w:multiLevelType w:val="hybridMultilevel"/>
    <w:tmpl w:val="2F9274E2"/>
    <w:lvl w:ilvl="0" w:tplc="00000012">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1D6445"/>
    <w:multiLevelType w:val="hybridMultilevel"/>
    <w:tmpl w:val="00C83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46" w15:restartNumberingAfterBreak="0">
    <w:nsid w:val="7C83066B"/>
    <w:multiLevelType w:val="hybridMultilevel"/>
    <w:tmpl w:val="C5F49958"/>
    <w:lvl w:ilvl="0" w:tplc="EF94B8A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6128754">
    <w:abstractNumId w:val="14"/>
  </w:num>
  <w:num w:numId="2" w16cid:durableId="1552420077">
    <w:abstractNumId w:val="36"/>
  </w:num>
  <w:num w:numId="3" w16cid:durableId="1331251518">
    <w:abstractNumId w:val="23"/>
  </w:num>
  <w:num w:numId="4" w16cid:durableId="1747802916">
    <w:abstractNumId w:val="4"/>
  </w:num>
  <w:num w:numId="5" w16cid:durableId="427392320">
    <w:abstractNumId w:val="1"/>
  </w:num>
  <w:num w:numId="6" w16cid:durableId="1155025022">
    <w:abstractNumId w:val="0"/>
  </w:num>
  <w:num w:numId="7" w16cid:durableId="401947441">
    <w:abstractNumId w:val="38"/>
  </w:num>
  <w:num w:numId="8" w16cid:durableId="1548756843">
    <w:abstractNumId w:val="6"/>
  </w:num>
  <w:num w:numId="9" w16cid:durableId="919145155">
    <w:abstractNumId w:val="46"/>
  </w:num>
  <w:num w:numId="10" w16cid:durableId="856312234">
    <w:abstractNumId w:val="34"/>
  </w:num>
  <w:num w:numId="11" w16cid:durableId="1435856042">
    <w:abstractNumId w:val="28"/>
  </w:num>
  <w:num w:numId="12" w16cid:durableId="103505439">
    <w:abstractNumId w:val="42"/>
  </w:num>
  <w:num w:numId="13" w16cid:durableId="430441982">
    <w:abstractNumId w:val="21"/>
  </w:num>
  <w:num w:numId="14" w16cid:durableId="1104037520">
    <w:abstractNumId w:val="41"/>
  </w:num>
  <w:num w:numId="15" w16cid:durableId="484128804">
    <w:abstractNumId w:val="10"/>
  </w:num>
  <w:num w:numId="16" w16cid:durableId="958493559">
    <w:abstractNumId w:val="20"/>
  </w:num>
  <w:num w:numId="17" w16cid:durableId="1442845481">
    <w:abstractNumId w:val="43"/>
  </w:num>
  <w:num w:numId="18" w16cid:durableId="720906368">
    <w:abstractNumId w:val="37"/>
  </w:num>
  <w:num w:numId="19" w16cid:durableId="1568374766">
    <w:abstractNumId w:val="15"/>
  </w:num>
  <w:num w:numId="20" w16cid:durableId="983001526">
    <w:abstractNumId w:val="17"/>
  </w:num>
  <w:num w:numId="21" w16cid:durableId="1835795801">
    <w:abstractNumId w:val="35"/>
  </w:num>
  <w:num w:numId="22" w16cid:durableId="1550267592">
    <w:abstractNumId w:val="13"/>
  </w:num>
  <w:num w:numId="23" w16cid:durableId="1509979834">
    <w:abstractNumId w:val="16"/>
  </w:num>
  <w:num w:numId="24" w16cid:durableId="725684484">
    <w:abstractNumId w:val="2"/>
  </w:num>
  <w:num w:numId="25" w16cid:durableId="755328849">
    <w:abstractNumId w:val="39"/>
  </w:num>
  <w:num w:numId="26" w16cid:durableId="72551140">
    <w:abstractNumId w:val="7"/>
  </w:num>
  <w:num w:numId="27" w16cid:durableId="1240286821">
    <w:abstractNumId w:val="22"/>
  </w:num>
  <w:num w:numId="28" w16cid:durableId="1304652938">
    <w:abstractNumId w:val="26"/>
  </w:num>
  <w:num w:numId="29" w16cid:durableId="788008322">
    <w:abstractNumId w:val="33"/>
  </w:num>
  <w:num w:numId="30" w16cid:durableId="1601142725">
    <w:abstractNumId w:val="40"/>
  </w:num>
  <w:num w:numId="31" w16cid:durableId="1793358190">
    <w:abstractNumId w:val="30"/>
  </w:num>
  <w:num w:numId="32" w16cid:durableId="331026218">
    <w:abstractNumId w:val="44"/>
  </w:num>
  <w:num w:numId="33" w16cid:durableId="617447112">
    <w:abstractNumId w:val="3"/>
  </w:num>
  <w:num w:numId="34" w16cid:durableId="837383823">
    <w:abstractNumId w:val="8"/>
  </w:num>
  <w:num w:numId="35" w16cid:durableId="1391540729">
    <w:abstractNumId w:val="11"/>
  </w:num>
  <w:num w:numId="36" w16cid:durableId="1405224778">
    <w:abstractNumId w:val="25"/>
  </w:num>
  <w:num w:numId="37" w16cid:durableId="2060395538">
    <w:abstractNumId w:val="19"/>
  </w:num>
  <w:num w:numId="38" w16cid:durableId="1249146730">
    <w:abstractNumId w:val="32"/>
  </w:num>
  <w:num w:numId="39" w16cid:durableId="90586255">
    <w:abstractNumId w:val="31"/>
  </w:num>
  <w:num w:numId="40" w16cid:durableId="1183401238">
    <w:abstractNumId w:val="9"/>
  </w:num>
  <w:num w:numId="41" w16cid:durableId="443505234">
    <w:abstractNumId w:val="24"/>
  </w:num>
  <w:num w:numId="42" w16cid:durableId="1218321620">
    <w:abstractNumId w:val="18"/>
  </w:num>
  <w:num w:numId="43" w16cid:durableId="1862012738">
    <w:abstractNumId w:val="12"/>
  </w:num>
  <w:num w:numId="44" w16cid:durableId="849680501">
    <w:abstractNumId w:val="5"/>
  </w:num>
  <w:num w:numId="45" w16cid:durableId="1772898707">
    <w:abstractNumId w:val="45"/>
  </w:num>
  <w:num w:numId="46" w16cid:durableId="1923681959">
    <w:abstractNumId w:val="27"/>
  </w:num>
  <w:num w:numId="47" w16cid:durableId="14007104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0C"/>
    <w:rsid w:val="0000342A"/>
    <w:rsid w:val="00010142"/>
    <w:rsid w:val="00010253"/>
    <w:rsid w:val="000148FA"/>
    <w:rsid w:val="00024127"/>
    <w:rsid w:val="00026B2E"/>
    <w:rsid w:val="000323CF"/>
    <w:rsid w:val="000343D0"/>
    <w:rsid w:val="00035214"/>
    <w:rsid w:val="00037C18"/>
    <w:rsid w:val="00042D31"/>
    <w:rsid w:val="00045FC3"/>
    <w:rsid w:val="00053A82"/>
    <w:rsid w:val="00062958"/>
    <w:rsid w:val="000661CA"/>
    <w:rsid w:val="00066A92"/>
    <w:rsid w:val="00067202"/>
    <w:rsid w:val="000679F9"/>
    <w:rsid w:val="00071239"/>
    <w:rsid w:val="00071F7A"/>
    <w:rsid w:val="00074FE3"/>
    <w:rsid w:val="00085FCD"/>
    <w:rsid w:val="00091B4D"/>
    <w:rsid w:val="000923C8"/>
    <w:rsid w:val="0009529E"/>
    <w:rsid w:val="000A06AA"/>
    <w:rsid w:val="000A0D01"/>
    <w:rsid w:val="000A11DB"/>
    <w:rsid w:val="000A1F5B"/>
    <w:rsid w:val="000A32D9"/>
    <w:rsid w:val="000A7145"/>
    <w:rsid w:val="000B15E9"/>
    <w:rsid w:val="000B2073"/>
    <w:rsid w:val="000B50A2"/>
    <w:rsid w:val="000B5864"/>
    <w:rsid w:val="000B5DA7"/>
    <w:rsid w:val="000B71E2"/>
    <w:rsid w:val="000C128D"/>
    <w:rsid w:val="000C6F5B"/>
    <w:rsid w:val="000E0F63"/>
    <w:rsid w:val="000E6885"/>
    <w:rsid w:val="000F111D"/>
    <w:rsid w:val="00103F6B"/>
    <w:rsid w:val="00106096"/>
    <w:rsid w:val="00112268"/>
    <w:rsid w:val="001131E1"/>
    <w:rsid w:val="001140A0"/>
    <w:rsid w:val="00115940"/>
    <w:rsid w:val="0011619C"/>
    <w:rsid w:val="00122D6A"/>
    <w:rsid w:val="00124B5C"/>
    <w:rsid w:val="0013037F"/>
    <w:rsid w:val="0013402B"/>
    <w:rsid w:val="001341B6"/>
    <w:rsid w:val="001347AE"/>
    <w:rsid w:val="00135393"/>
    <w:rsid w:val="001369DA"/>
    <w:rsid w:val="00141EA3"/>
    <w:rsid w:val="00150F98"/>
    <w:rsid w:val="00152833"/>
    <w:rsid w:val="00152D03"/>
    <w:rsid w:val="00154860"/>
    <w:rsid w:val="00174A37"/>
    <w:rsid w:val="00180109"/>
    <w:rsid w:val="00181753"/>
    <w:rsid w:val="001907AD"/>
    <w:rsid w:val="00194C08"/>
    <w:rsid w:val="001957FE"/>
    <w:rsid w:val="00196A86"/>
    <w:rsid w:val="001A43A9"/>
    <w:rsid w:val="001D117C"/>
    <w:rsid w:val="001D342F"/>
    <w:rsid w:val="001D432B"/>
    <w:rsid w:val="001E0712"/>
    <w:rsid w:val="001E7787"/>
    <w:rsid w:val="00200937"/>
    <w:rsid w:val="00201571"/>
    <w:rsid w:val="002023F3"/>
    <w:rsid w:val="00202905"/>
    <w:rsid w:val="00204795"/>
    <w:rsid w:val="00205940"/>
    <w:rsid w:val="002074F7"/>
    <w:rsid w:val="00212A76"/>
    <w:rsid w:val="00212B13"/>
    <w:rsid w:val="002164C9"/>
    <w:rsid w:val="00216CE9"/>
    <w:rsid w:val="00226DB6"/>
    <w:rsid w:val="00236259"/>
    <w:rsid w:val="00236549"/>
    <w:rsid w:val="00241F26"/>
    <w:rsid w:val="00244038"/>
    <w:rsid w:val="00245713"/>
    <w:rsid w:val="00246F02"/>
    <w:rsid w:val="00262098"/>
    <w:rsid w:val="00263457"/>
    <w:rsid w:val="002666C9"/>
    <w:rsid w:val="00267845"/>
    <w:rsid w:val="00270F19"/>
    <w:rsid w:val="00277504"/>
    <w:rsid w:val="00294668"/>
    <w:rsid w:val="00297792"/>
    <w:rsid w:val="002A38B3"/>
    <w:rsid w:val="002B2306"/>
    <w:rsid w:val="002B7871"/>
    <w:rsid w:val="002D0C47"/>
    <w:rsid w:val="002D14D7"/>
    <w:rsid w:val="002D2481"/>
    <w:rsid w:val="002D7137"/>
    <w:rsid w:val="002E2BD3"/>
    <w:rsid w:val="002E50CC"/>
    <w:rsid w:val="002E5528"/>
    <w:rsid w:val="002E78B9"/>
    <w:rsid w:val="002F1716"/>
    <w:rsid w:val="002F2CEA"/>
    <w:rsid w:val="002F5824"/>
    <w:rsid w:val="002F717F"/>
    <w:rsid w:val="003011B1"/>
    <w:rsid w:val="00305428"/>
    <w:rsid w:val="00312CC6"/>
    <w:rsid w:val="00312FCB"/>
    <w:rsid w:val="00314207"/>
    <w:rsid w:val="003157C2"/>
    <w:rsid w:val="00315987"/>
    <w:rsid w:val="003161F8"/>
    <w:rsid w:val="00320C7D"/>
    <w:rsid w:val="00321C86"/>
    <w:rsid w:val="00333005"/>
    <w:rsid w:val="00350D27"/>
    <w:rsid w:val="00357785"/>
    <w:rsid w:val="00357A41"/>
    <w:rsid w:val="00357F86"/>
    <w:rsid w:val="00361C10"/>
    <w:rsid w:val="00362428"/>
    <w:rsid w:val="003658C4"/>
    <w:rsid w:val="00366BC7"/>
    <w:rsid w:val="00367F79"/>
    <w:rsid w:val="0037143B"/>
    <w:rsid w:val="00373585"/>
    <w:rsid w:val="003736E7"/>
    <w:rsid w:val="00373A34"/>
    <w:rsid w:val="00377A85"/>
    <w:rsid w:val="00384C55"/>
    <w:rsid w:val="0039053D"/>
    <w:rsid w:val="00395FAD"/>
    <w:rsid w:val="003969F7"/>
    <w:rsid w:val="003A3454"/>
    <w:rsid w:val="003A6ED3"/>
    <w:rsid w:val="003A6FBC"/>
    <w:rsid w:val="003B06F0"/>
    <w:rsid w:val="003B2B0F"/>
    <w:rsid w:val="003C11A6"/>
    <w:rsid w:val="003C2926"/>
    <w:rsid w:val="003C607D"/>
    <w:rsid w:val="003D250C"/>
    <w:rsid w:val="003D3BAD"/>
    <w:rsid w:val="003D466F"/>
    <w:rsid w:val="003E0E93"/>
    <w:rsid w:val="003E4DC9"/>
    <w:rsid w:val="003E7BCC"/>
    <w:rsid w:val="003F0BC2"/>
    <w:rsid w:val="003F2CF8"/>
    <w:rsid w:val="003F302B"/>
    <w:rsid w:val="004010BA"/>
    <w:rsid w:val="00402D62"/>
    <w:rsid w:val="004047AB"/>
    <w:rsid w:val="00413200"/>
    <w:rsid w:val="004172BB"/>
    <w:rsid w:val="004176E9"/>
    <w:rsid w:val="00422B11"/>
    <w:rsid w:val="004251DB"/>
    <w:rsid w:val="00440CB0"/>
    <w:rsid w:val="004422FD"/>
    <w:rsid w:val="004423A6"/>
    <w:rsid w:val="004530DB"/>
    <w:rsid w:val="00456AD0"/>
    <w:rsid w:val="004644CD"/>
    <w:rsid w:val="00464E3A"/>
    <w:rsid w:val="0047460B"/>
    <w:rsid w:val="00480F38"/>
    <w:rsid w:val="004833C4"/>
    <w:rsid w:val="00485D27"/>
    <w:rsid w:val="00486B48"/>
    <w:rsid w:val="0049085D"/>
    <w:rsid w:val="004A1076"/>
    <w:rsid w:val="004A1521"/>
    <w:rsid w:val="004B5325"/>
    <w:rsid w:val="004C2560"/>
    <w:rsid w:val="004C775B"/>
    <w:rsid w:val="004D2C87"/>
    <w:rsid w:val="004D3726"/>
    <w:rsid w:val="004D3DB7"/>
    <w:rsid w:val="004D4EED"/>
    <w:rsid w:val="004D6B55"/>
    <w:rsid w:val="004D7875"/>
    <w:rsid w:val="004E335A"/>
    <w:rsid w:val="004F0F86"/>
    <w:rsid w:val="004F1A20"/>
    <w:rsid w:val="004F219A"/>
    <w:rsid w:val="004F2A31"/>
    <w:rsid w:val="004F3011"/>
    <w:rsid w:val="00502C3E"/>
    <w:rsid w:val="005038D5"/>
    <w:rsid w:val="00505B1F"/>
    <w:rsid w:val="00507C37"/>
    <w:rsid w:val="00520B79"/>
    <w:rsid w:val="00522D7A"/>
    <w:rsid w:val="005232B9"/>
    <w:rsid w:val="00531D43"/>
    <w:rsid w:val="00543437"/>
    <w:rsid w:val="00561D6E"/>
    <w:rsid w:val="005630FB"/>
    <w:rsid w:val="005632EB"/>
    <w:rsid w:val="0056444E"/>
    <w:rsid w:val="00572A1D"/>
    <w:rsid w:val="00580921"/>
    <w:rsid w:val="005862F9"/>
    <w:rsid w:val="005937A0"/>
    <w:rsid w:val="005952DC"/>
    <w:rsid w:val="005A06F3"/>
    <w:rsid w:val="005A54FF"/>
    <w:rsid w:val="005A5FF1"/>
    <w:rsid w:val="005A778B"/>
    <w:rsid w:val="005B02CF"/>
    <w:rsid w:val="005B1E0C"/>
    <w:rsid w:val="005C4B25"/>
    <w:rsid w:val="005D046D"/>
    <w:rsid w:val="005D0BFB"/>
    <w:rsid w:val="005D2214"/>
    <w:rsid w:val="005D4BB0"/>
    <w:rsid w:val="005F0E74"/>
    <w:rsid w:val="005F45A0"/>
    <w:rsid w:val="005F7456"/>
    <w:rsid w:val="00611290"/>
    <w:rsid w:val="006133EC"/>
    <w:rsid w:val="00613753"/>
    <w:rsid w:val="00622E0F"/>
    <w:rsid w:val="0063017E"/>
    <w:rsid w:val="00632101"/>
    <w:rsid w:val="0063272E"/>
    <w:rsid w:val="00634B0C"/>
    <w:rsid w:val="00637B51"/>
    <w:rsid w:val="00645E4B"/>
    <w:rsid w:val="00650795"/>
    <w:rsid w:val="00652861"/>
    <w:rsid w:val="006648B0"/>
    <w:rsid w:val="00671A1B"/>
    <w:rsid w:val="00675212"/>
    <w:rsid w:val="0068799E"/>
    <w:rsid w:val="00691FAA"/>
    <w:rsid w:val="006945BC"/>
    <w:rsid w:val="006A32DB"/>
    <w:rsid w:val="006A7ED4"/>
    <w:rsid w:val="006B1BB2"/>
    <w:rsid w:val="006B23F8"/>
    <w:rsid w:val="006B4D4A"/>
    <w:rsid w:val="006B5CB7"/>
    <w:rsid w:val="006B7012"/>
    <w:rsid w:val="006D4D72"/>
    <w:rsid w:val="006D5D0D"/>
    <w:rsid w:val="006E1547"/>
    <w:rsid w:val="006E2C6A"/>
    <w:rsid w:val="006E679A"/>
    <w:rsid w:val="006E7567"/>
    <w:rsid w:val="006E7F54"/>
    <w:rsid w:val="0070553C"/>
    <w:rsid w:val="00711B6C"/>
    <w:rsid w:val="00713F91"/>
    <w:rsid w:val="00720A83"/>
    <w:rsid w:val="00722084"/>
    <w:rsid w:val="0072592A"/>
    <w:rsid w:val="00726A6D"/>
    <w:rsid w:val="0073319E"/>
    <w:rsid w:val="007331A9"/>
    <w:rsid w:val="00733F08"/>
    <w:rsid w:val="007342B2"/>
    <w:rsid w:val="00735328"/>
    <w:rsid w:val="00744973"/>
    <w:rsid w:val="0074497D"/>
    <w:rsid w:val="00747CC8"/>
    <w:rsid w:val="00751304"/>
    <w:rsid w:val="007518CC"/>
    <w:rsid w:val="0075607A"/>
    <w:rsid w:val="00760AA6"/>
    <w:rsid w:val="00763D69"/>
    <w:rsid w:val="007650E1"/>
    <w:rsid w:val="00773CDC"/>
    <w:rsid w:val="007770EF"/>
    <w:rsid w:val="00777987"/>
    <w:rsid w:val="00783DA9"/>
    <w:rsid w:val="007859BE"/>
    <w:rsid w:val="00796852"/>
    <w:rsid w:val="00797903"/>
    <w:rsid w:val="007A0031"/>
    <w:rsid w:val="007A76D1"/>
    <w:rsid w:val="007B1781"/>
    <w:rsid w:val="007D1190"/>
    <w:rsid w:val="007D3495"/>
    <w:rsid w:val="007D52E9"/>
    <w:rsid w:val="007E1F48"/>
    <w:rsid w:val="007E2F96"/>
    <w:rsid w:val="007F0211"/>
    <w:rsid w:val="007F1B11"/>
    <w:rsid w:val="007F2552"/>
    <w:rsid w:val="007F6692"/>
    <w:rsid w:val="008038CE"/>
    <w:rsid w:val="00804523"/>
    <w:rsid w:val="008128E6"/>
    <w:rsid w:val="00813897"/>
    <w:rsid w:val="00817379"/>
    <w:rsid w:val="008241DE"/>
    <w:rsid w:val="00830C70"/>
    <w:rsid w:val="00833EC5"/>
    <w:rsid w:val="0083509C"/>
    <w:rsid w:val="00835EBF"/>
    <w:rsid w:val="00840B4F"/>
    <w:rsid w:val="0085353D"/>
    <w:rsid w:val="0085635B"/>
    <w:rsid w:val="008619D1"/>
    <w:rsid w:val="00864159"/>
    <w:rsid w:val="00870388"/>
    <w:rsid w:val="0087467D"/>
    <w:rsid w:val="0087763B"/>
    <w:rsid w:val="00883867"/>
    <w:rsid w:val="0088441B"/>
    <w:rsid w:val="00884BFC"/>
    <w:rsid w:val="00886A9E"/>
    <w:rsid w:val="0089241F"/>
    <w:rsid w:val="00892621"/>
    <w:rsid w:val="00894EA1"/>
    <w:rsid w:val="00896049"/>
    <w:rsid w:val="008A02AD"/>
    <w:rsid w:val="008A0D6B"/>
    <w:rsid w:val="008A1B3A"/>
    <w:rsid w:val="008A2035"/>
    <w:rsid w:val="008B34B8"/>
    <w:rsid w:val="008B36F9"/>
    <w:rsid w:val="008C2324"/>
    <w:rsid w:val="008C28CF"/>
    <w:rsid w:val="008D0FB8"/>
    <w:rsid w:val="008D31A5"/>
    <w:rsid w:val="008E11F9"/>
    <w:rsid w:val="008F2BF1"/>
    <w:rsid w:val="00900CCD"/>
    <w:rsid w:val="00902173"/>
    <w:rsid w:val="00902482"/>
    <w:rsid w:val="00902A50"/>
    <w:rsid w:val="00902F1B"/>
    <w:rsid w:val="009115C2"/>
    <w:rsid w:val="00912621"/>
    <w:rsid w:val="00915D77"/>
    <w:rsid w:val="009222F7"/>
    <w:rsid w:val="0092243D"/>
    <w:rsid w:val="00925F89"/>
    <w:rsid w:val="00926136"/>
    <w:rsid w:val="009277EA"/>
    <w:rsid w:val="0093257B"/>
    <w:rsid w:val="0093514C"/>
    <w:rsid w:val="0093787D"/>
    <w:rsid w:val="00941B96"/>
    <w:rsid w:val="00946D6F"/>
    <w:rsid w:val="00951A8C"/>
    <w:rsid w:val="00952277"/>
    <w:rsid w:val="00954080"/>
    <w:rsid w:val="00956EDE"/>
    <w:rsid w:val="00960B5A"/>
    <w:rsid w:val="0096151A"/>
    <w:rsid w:val="009801C4"/>
    <w:rsid w:val="00983805"/>
    <w:rsid w:val="0099062F"/>
    <w:rsid w:val="009945EE"/>
    <w:rsid w:val="009B7DD9"/>
    <w:rsid w:val="009C2B7E"/>
    <w:rsid w:val="009D5D58"/>
    <w:rsid w:val="009D606D"/>
    <w:rsid w:val="009E1923"/>
    <w:rsid w:val="009F078F"/>
    <w:rsid w:val="009F3C9E"/>
    <w:rsid w:val="009F486C"/>
    <w:rsid w:val="00A04050"/>
    <w:rsid w:val="00A11290"/>
    <w:rsid w:val="00A12259"/>
    <w:rsid w:val="00A155C3"/>
    <w:rsid w:val="00A16ECD"/>
    <w:rsid w:val="00A208A4"/>
    <w:rsid w:val="00A222FC"/>
    <w:rsid w:val="00A24C2C"/>
    <w:rsid w:val="00A25DC6"/>
    <w:rsid w:val="00A3080F"/>
    <w:rsid w:val="00A30A64"/>
    <w:rsid w:val="00A4080A"/>
    <w:rsid w:val="00A41085"/>
    <w:rsid w:val="00A429D7"/>
    <w:rsid w:val="00A445E0"/>
    <w:rsid w:val="00A46575"/>
    <w:rsid w:val="00A53F48"/>
    <w:rsid w:val="00A653B0"/>
    <w:rsid w:val="00A655BF"/>
    <w:rsid w:val="00A81ABE"/>
    <w:rsid w:val="00A95B4B"/>
    <w:rsid w:val="00A97C9B"/>
    <w:rsid w:val="00AA15CE"/>
    <w:rsid w:val="00AA2144"/>
    <w:rsid w:val="00AC16CC"/>
    <w:rsid w:val="00AD1603"/>
    <w:rsid w:val="00AD3046"/>
    <w:rsid w:val="00AD5520"/>
    <w:rsid w:val="00AF1A75"/>
    <w:rsid w:val="00AF535D"/>
    <w:rsid w:val="00AF6BC9"/>
    <w:rsid w:val="00B03498"/>
    <w:rsid w:val="00B03BC7"/>
    <w:rsid w:val="00B0537E"/>
    <w:rsid w:val="00B059F6"/>
    <w:rsid w:val="00B11D06"/>
    <w:rsid w:val="00B13974"/>
    <w:rsid w:val="00B17B3C"/>
    <w:rsid w:val="00B22E25"/>
    <w:rsid w:val="00B233C7"/>
    <w:rsid w:val="00B318C3"/>
    <w:rsid w:val="00B32376"/>
    <w:rsid w:val="00B374AD"/>
    <w:rsid w:val="00B42ECF"/>
    <w:rsid w:val="00B472B8"/>
    <w:rsid w:val="00B52814"/>
    <w:rsid w:val="00B54AC6"/>
    <w:rsid w:val="00B6154B"/>
    <w:rsid w:val="00B67502"/>
    <w:rsid w:val="00B7153B"/>
    <w:rsid w:val="00B75B9E"/>
    <w:rsid w:val="00B75D9D"/>
    <w:rsid w:val="00B82F2D"/>
    <w:rsid w:val="00B8645B"/>
    <w:rsid w:val="00B94070"/>
    <w:rsid w:val="00BA7A4F"/>
    <w:rsid w:val="00BB099B"/>
    <w:rsid w:val="00BB2B70"/>
    <w:rsid w:val="00BB3FB7"/>
    <w:rsid w:val="00BB5736"/>
    <w:rsid w:val="00BC2258"/>
    <w:rsid w:val="00BD197E"/>
    <w:rsid w:val="00BD5F72"/>
    <w:rsid w:val="00BE04FD"/>
    <w:rsid w:val="00BE4B20"/>
    <w:rsid w:val="00BF08E1"/>
    <w:rsid w:val="00C00FD0"/>
    <w:rsid w:val="00C0322A"/>
    <w:rsid w:val="00C03D9C"/>
    <w:rsid w:val="00C046E4"/>
    <w:rsid w:val="00C1225A"/>
    <w:rsid w:val="00C23F08"/>
    <w:rsid w:val="00C242A1"/>
    <w:rsid w:val="00C34640"/>
    <w:rsid w:val="00C35170"/>
    <w:rsid w:val="00C353FD"/>
    <w:rsid w:val="00C4309E"/>
    <w:rsid w:val="00C45417"/>
    <w:rsid w:val="00C529F0"/>
    <w:rsid w:val="00C6362E"/>
    <w:rsid w:val="00C71E40"/>
    <w:rsid w:val="00C72FFD"/>
    <w:rsid w:val="00C76970"/>
    <w:rsid w:val="00C826C3"/>
    <w:rsid w:val="00C85B50"/>
    <w:rsid w:val="00C86891"/>
    <w:rsid w:val="00C95C3B"/>
    <w:rsid w:val="00CB2B1B"/>
    <w:rsid w:val="00CB6BFA"/>
    <w:rsid w:val="00CB6F75"/>
    <w:rsid w:val="00CC1085"/>
    <w:rsid w:val="00CC28C8"/>
    <w:rsid w:val="00CC517E"/>
    <w:rsid w:val="00CD38EA"/>
    <w:rsid w:val="00CE029D"/>
    <w:rsid w:val="00CE44D1"/>
    <w:rsid w:val="00CF1277"/>
    <w:rsid w:val="00CF3D9C"/>
    <w:rsid w:val="00CF5458"/>
    <w:rsid w:val="00CF61DD"/>
    <w:rsid w:val="00CF798C"/>
    <w:rsid w:val="00CF7E3A"/>
    <w:rsid w:val="00D00782"/>
    <w:rsid w:val="00D03B4F"/>
    <w:rsid w:val="00D21016"/>
    <w:rsid w:val="00D23BE1"/>
    <w:rsid w:val="00D33A72"/>
    <w:rsid w:val="00D3459F"/>
    <w:rsid w:val="00D43567"/>
    <w:rsid w:val="00D50A24"/>
    <w:rsid w:val="00D524FD"/>
    <w:rsid w:val="00D528FF"/>
    <w:rsid w:val="00D53BB3"/>
    <w:rsid w:val="00D560B1"/>
    <w:rsid w:val="00D56CAF"/>
    <w:rsid w:val="00D6104F"/>
    <w:rsid w:val="00D66950"/>
    <w:rsid w:val="00D7541B"/>
    <w:rsid w:val="00D75668"/>
    <w:rsid w:val="00D828AA"/>
    <w:rsid w:val="00D85AD1"/>
    <w:rsid w:val="00D90F7B"/>
    <w:rsid w:val="00D917FD"/>
    <w:rsid w:val="00DA1C9F"/>
    <w:rsid w:val="00DA6385"/>
    <w:rsid w:val="00DC023C"/>
    <w:rsid w:val="00DC26BB"/>
    <w:rsid w:val="00DC3E42"/>
    <w:rsid w:val="00DC3E78"/>
    <w:rsid w:val="00DC792E"/>
    <w:rsid w:val="00DD3F3D"/>
    <w:rsid w:val="00DD78C2"/>
    <w:rsid w:val="00DE1D00"/>
    <w:rsid w:val="00DE340E"/>
    <w:rsid w:val="00DF07FC"/>
    <w:rsid w:val="00E07283"/>
    <w:rsid w:val="00E1012E"/>
    <w:rsid w:val="00E1027E"/>
    <w:rsid w:val="00E1089E"/>
    <w:rsid w:val="00E11C4A"/>
    <w:rsid w:val="00E13B73"/>
    <w:rsid w:val="00E14171"/>
    <w:rsid w:val="00E172A6"/>
    <w:rsid w:val="00E20AD5"/>
    <w:rsid w:val="00E20D97"/>
    <w:rsid w:val="00E229AB"/>
    <w:rsid w:val="00E2691F"/>
    <w:rsid w:val="00E34D20"/>
    <w:rsid w:val="00E36DA8"/>
    <w:rsid w:val="00E43053"/>
    <w:rsid w:val="00E44801"/>
    <w:rsid w:val="00E51BB1"/>
    <w:rsid w:val="00E56A81"/>
    <w:rsid w:val="00E576B9"/>
    <w:rsid w:val="00E6022B"/>
    <w:rsid w:val="00E60518"/>
    <w:rsid w:val="00E63B11"/>
    <w:rsid w:val="00E67238"/>
    <w:rsid w:val="00E73583"/>
    <w:rsid w:val="00E76A00"/>
    <w:rsid w:val="00E77528"/>
    <w:rsid w:val="00E814A1"/>
    <w:rsid w:val="00E92107"/>
    <w:rsid w:val="00E96A26"/>
    <w:rsid w:val="00E973B9"/>
    <w:rsid w:val="00EA013C"/>
    <w:rsid w:val="00EA0603"/>
    <w:rsid w:val="00EA25D2"/>
    <w:rsid w:val="00EA4C46"/>
    <w:rsid w:val="00EB1821"/>
    <w:rsid w:val="00EB2061"/>
    <w:rsid w:val="00EB2480"/>
    <w:rsid w:val="00EC0C70"/>
    <w:rsid w:val="00EC0CB0"/>
    <w:rsid w:val="00EC31D4"/>
    <w:rsid w:val="00EC70E4"/>
    <w:rsid w:val="00ED3BDD"/>
    <w:rsid w:val="00ED4173"/>
    <w:rsid w:val="00ED5441"/>
    <w:rsid w:val="00ED686A"/>
    <w:rsid w:val="00EE6083"/>
    <w:rsid w:val="00F010EA"/>
    <w:rsid w:val="00F05757"/>
    <w:rsid w:val="00F064EC"/>
    <w:rsid w:val="00F22798"/>
    <w:rsid w:val="00F25603"/>
    <w:rsid w:val="00F25907"/>
    <w:rsid w:val="00F4449F"/>
    <w:rsid w:val="00F61D51"/>
    <w:rsid w:val="00F65E52"/>
    <w:rsid w:val="00F7008A"/>
    <w:rsid w:val="00F71B0E"/>
    <w:rsid w:val="00F77AE6"/>
    <w:rsid w:val="00F85152"/>
    <w:rsid w:val="00F86979"/>
    <w:rsid w:val="00F930B5"/>
    <w:rsid w:val="00F94EBD"/>
    <w:rsid w:val="00F97C62"/>
    <w:rsid w:val="00F97ECC"/>
    <w:rsid w:val="00FA210A"/>
    <w:rsid w:val="00FA2855"/>
    <w:rsid w:val="00FA2F81"/>
    <w:rsid w:val="00FA52E2"/>
    <w:rsid w:val="00FB08A8"/>
    <w:rsid w:val="00FB270C"/>
    <w:rsid w:val="00FB5252"/>
    <w:rsid w:val="00FB76B9"/>
    <w:rsid w:val="00FC1413"/>
    <w:rsid w:val="00FC408A"/>
    <w:rsid w:val="00FC4F33"/>
    <w:rsid w:val="00FC5C56"/>
    <w:rsid w:val="00FD1787"/>
    <w:rsid w:val="00FE4CB7"/>
    <w:rsid w:val="00FE7D72"/>
    <w:rsid w:val="00FF02C6"/>
    <w:rsid w:val="00FF13F6"/>
    <w:rsid w:val="00FF2FF6"/>
    <w:rsid w:val="00FF4F7F"/>
    <w:rsid w:val="00FF7718"/>
    <w:rsid w:val="0AEFD95D"/>
    <w:rsid w:val="1C8FC28C"/>
    <w:rsid w:val="1D8B38FE"/>
    <w:rsid w:val="269357C5"/>
    <w:rsid w:val="478E604A"/>
    <w:rsid w:val="4C522B42"/>
    <w:rsid w:val="503D2BF9"/>
    <w:rsid w:val="52348F84"/>
    <w:rsid w:val="5374CCBB"/>
    <w:rsid w:val="65D38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C8C47"/>
  <w15:docId w15:val="{81F56E26-AFCB-474A-80E8-AEA34B80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FB270C"/>
    <w:rPr>
      <w:sz w:val="16"/>
      <w:szCs w:val="16"/>
    </w:rPr>
  </w:style>
  <w:style w:type="paragraph" w:styleId="Tekstkomentarza">
    <w:name w:val="annotation text"/>
    <w:basedOn w:val="Normalny"/>
    <w:link w:val="TekstkomentarzaZnak"/>
    <w:uiPriority w:val="99"/>
    <w:unhideWhenUsed/>
    <w:rsid w:val="00FB270C"/>
    <w:pPr>
      <w:suppressAutoHyphens/>
      <w:autoSpaceDN w:val="0"/>
      <w:spacing w:line="240" w:lineRule="auto"/>
      <w:textAlignment w:val="baseline"/>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FB270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B27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270C"/>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39053D"/>
    <w:pPr>
      <w:suppressAutoHyphens w:val="0"/>
      <w:autoSpaceDN/>
      <w:textAlignment w:val="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39053D"/>
    <w:rPr>
      <w:rFonts w:ascii="Calibri" w:eastAsia="Calibri" w:hAnsi="Calibri" w:cs="Times New Roman"/>
      <w:b/>
      <w:bCs/>
      <w:sz w:val="20"/>
      <w:szCs w:val="20"/>
    </w:rPr>
  </w:style>
  <w:style w:type="paragraph" w:styleId="Nagwek">
    <w:name w:val="header"/>
    <w:basedOn w:val="Normalny"/>
    <w:link w:val="NagwekZnak"/>
    <w:uiPriority w:val="99"/>
    <w:unhideWhenUsed/>
    <w:rsid w:val="00C242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2A1"/>
  </w:style>
  <w:style w:type="paragraph" w:styleId="Stopka">
    <w:name w:val="footer"/>
    <w:basedOn w:val="Normalny"/>
    <w:link w:val="StopkaZnak"/>
    <w:uiPriority w:val="99"/>
    <w:unhideWhenUsed/>
    <w:rsid w:val="00C242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2A1"/>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E2BD3"/>
    <w:pPr>
      <w:ind w:left="720"/>
      <w:contextualSpacing/>
    </w:pPr>
  </w:style>
  <w:style w:type="paragraph" w:customStyle="1" w:styleId="Style11">
    <w:name w:val="Style11"/>
    <w:basedOn w:val="Normalny"/>
    <w:uiPriority w:val="99"/>
    <w:rsid w:val="004F0F8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78">
    <w:name w:val="Font Style78"/>
    <w:basedOn w:val="Domylnaczcionkaakapitu"/>
    <w:uiPriority w:val="99"/>
    <w:rsid w:val="004F0F86"/>
    <w:rPr>
      <w:rFonts w:ascii="Times New Roman" w:hAnsi="Times New Roman" w:cs="Times New Roman"/>
      <w:sz w:val="20"/>
      <w:szCs w:val="20"/>
    </w:rPr>
  </w:style>
  <w:style w:type="paragraph" w:styleId="Poprawka">
    <w:name w:val="Revision"/>
    <w:hidden/>
    <w:uiPriority w:val="99"/>
    <w:semiHidden/>
    <w:rsid w:val="003B2B0F"/>
    <w:pPr>
      <w:spacing w:after="0" w:line="240" w:lineRule="auto"/>
    </w:pPr>
  </w:style>
  <w:style w:type="paragraph" w:customStyle="1" w:styleId="Default">
    <w:name w:val="Default"/>
    <w:rsid w:val="00B7153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99"/>
    <w:rsid w:val="00B374A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0923C8"/>
  </w:style>
  <w:style w:type="character" w:customStyle="1" w:styleId="normaltextrun">
    <w:name w:val="normaltextrun"/>
    <w:basedOn w:val="Domylnaczcionkaakapitu"/>
    <w:rsid w:val="00960B5A"/>
  </w:style>
  <w:style w:type="character" w:customStyle="1" w:styleId="eop">
    <w:name w:val="eop"/>
    <w:basedOn w:val="Domylnaczcionkaakapitu"/>
    <w:rsid w:val="00960B5A"/>
  </w:style>
  <w:style w:type="paragraph" w:customStyle="1" w:styleId="Akapitzlist1">
    <w:name w:val="Akapit z listą1"/>
    <w:basedOn w:val="Normalny"/>
    <w:qFormat/>
    <w:rsid w:val="00373585"/>
    <w:pPr>
      <w:spacing w:after="0" w:line="240" w:lineRule="auto"/>
      <w:ind w:left="720"/>
      <w:contextualSpacing/>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53BB3"/>
    <w:rPr>
      <w:color w:val="0000FF" w:themeColor="hyperlink"/>
      <w:u w:val="single"/>
    </w:rPr>
  </w:style>
  <w:style w:type="paragraph" w:styleId="Tekstprzypisudolnego">
    <w:name w:val="footnote text"/>
    <w:basedOn w:val="Normalny"/>
    <w:link w:val="TekstprzypisudolnegoZnak"/>
    <w:uiPriority w:val="99"/>
    <w:semiHidden/>
    <w:unhideWhenUsed/>
    <w:rsid w:val="000B50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50A2"/>
    <w:rPr>
      <w:sz w:val="20"/>
      <w:szCs w:val="20"/>
    </w:rPr>
  </w:style>
  <w:style w:type="character" w:styleId="Odwoanieprzypisudolnego">
    <w:name w:val="footnote reference"/>
    <w:basedOn w:val="Domylnaczcionkaakapitu"/>
    <w:uiPriority w:val="99"/>
    <w:semiHidden/>
    <w:unhideWhenUsed/>
    <w:rsid w:val="000B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1312">
      <w:bodyDiv w:val="1"/>
      <w:marLeft w:val="0"/>
      <w:marRight w:val="0"/>
      <w:marTop w:val="0"/>
      <w:marBottom w:val="0"/>
      <w:divBdr>
        <w:top w:val="none" w:sz="0" w:space="0" w:color="auto"/>
        <w:left w:val="none" w:sz="0" w:space="0" w:color="auto"/>
        <w:bottom w:val="none" w:sz="0" w:space="0" w:color="auto"/>
        <w:right w:val="none" w:sz="0" w:space="0" w:color="auto"/>
      </w:divBdr>
      <w:divsChild>
        <w:div w:id="988635490">
          <w:marLeft w:val="0"/>
          <w:marRight w:val="0"/>
          <w:marTop w:val="0"/>
          <w:marBottom w:val="0"/>
          <w:divBdr>
            <w:top w:val="none" w:sz="0" w:space="0" w:color="auto"/>
            <w:left w:val="none" w:sz="0" w:space="0" w:color="auto"/>
            <w:bottom w:val="none" w:sz="0" w:space="0" w:color="auto"/>
            <w:right w:val="none" w:sz="0" w:space="0" w:color="auto"/>
          </w:divBdr>
        </w:div>
        <w:div w:id="383720094">
          <w:marLeft w:val="0"/>
          <w:marRight w:val="0"/>
          <w:marTop w:val="0"/>
          <w:marBottom w:val="0"/>
          <w:divBdr>
            <w:top w:val="none" w:sz="0" w:space="0" w:color="auto"/>
            <w:left w:val="none" w:sz="0" w:space="0" w:color="auto"/>
            <w:bottom w:val="none" w:sz="0" w:space="0" w:color="auto"/>
            <w:right w:val="none" w:sz="0" w:space="0" w:color="auto"/>
          </w:divBdr>
        </w:div>
        <w:div w:id="977608676">
          <w:marLeft w:val="0"/>
          <w:marRight w:val="0"/>
          <w:marTop w:val="0"/>
          <w:marBottom w:val="0"/>
          <w:divBdr>
            <w:top w:val="none" w:sz="0" w:space="0" w:color="auto"/>
            <w:left w:val="none" w:sz="0" w:space="0" w:color="auto"/>
            <w:bottom w:val="none" w:sz="0" w:space="0" w:color="auto"/>
            <w:right w:val="none" w:sz="0" w:space="0" w:color="auto"/>
          </w:divBdr>
        </w:div>
        <w:div w:id="1900051620">
          <w:marLeft w:val="0"/>
          <w:marRight w:val="0"/>
          <w:marTop w:val="0"/>
          <w:marBottom w:val="0"/>
          <w:divBdr>
            <w:top w:val="none" w:sz="0" w:space="0" w:color="auto"/>
            <w:left w:val="none" w:sz="0" w:space="0" w:color="auto"/>
            <w:bottom w:val="none" w:sz="0" w:space="0" w:color="auto"/>
            <w:right w:val="none" w:sz="0" w:space="0" w:color="auto"/>
          </w:divBdr>
        </w:div>
        <w:div w:id="1481538536">
          <w:marLeft w:val="0"/>
          <w:marRight w:val="0"/>
          <w:marTop w:val="0"/>
          <w:marBottom w:val="0"/>
          <w:divBdr>
            <w:top w:val="none" w:sz="0" w:space="0" w:color="auto"/>
            <w:left w:val="none" w:sz="0" w:space="0" w:color="auto"/>
            <w:bottom w:val="none" w:sz="0" w:space="0" w:color="auto"/>
            <w:right w:val="none" w:sz="0" w:space="0" w:color="auto"/>
          </w:divBdr>
        </w:div>
        <w:div w:id="680544971">
          <w:marLeft w:val="0"/>
          <w:marRight w:val="0"/>
          <w:marTop w:val="0"/>
          <w:marBottom w:val="0"/>
          <w:divBdr>
            <w:top w:val="none" w:sz="0" w:space="0" w:color="auto"/>
            <w:left w:val="none" w:sz="0" w:space="0" w:color="auto"/>
            <w:bottom w:val="none" w:sz="0" w:space="0" w:color="auto"/>
            <w:right w:val="none" w:sz="0" w:space="0" w:color="auto"/>
          </w:divBdr>
        </w:div>
        <w:div w:id="1633167495">
          <w:marLeft w:val="0"/>
          <w:marRight w:val="0"/>
          <w:marTop w:val="0"/>
          <w:marBottom w:val="0"/>
          <w:divBdr>
            <w:top w:val="none" w:sz="0" w:space="0" w:color="auto"/>
            <w:left w:val="none" w:sz="0" w:space="0" w:color="auto"/>
            <w:bottom w:val="none" w:sz="0" w:space="0" w:color="auto"/>
            <w:right w:val="none" w:sz="0" w:space="0" w:color="auto"/>
          </w:divBdr>
        </w:div>
        <w:div w:id="1562062869">
          <w:marLeft w:val="0"/>
          <w:marRight w:val="0"/>
          <w:marTop w:val="0"/>
          <w:marBottom w:val="0"/>
          <w:divBdr>
            <w:top w:val="none" w:sz="0" w:space="0" w:color="auto"/>
            <w:left w:val="none" w:sz="0" w:space="0" w:color="auto"/>
            <w:bottom w:val="none" w:sz="0" w:space="0" w:color="auto"/>
            <w:right w:val="none" w:sz="0" w:space="0" w:color="auto"/>
          </w:divBdr>
        </w:div>
        <w:div w:id="672100939">
          <w:marLeft w:val="0"/>
          <w:marRight w:val="0"/>
          <w:marTop w:val="0"/>
          <w:marBottom w:val="0"/>
          <w:divBdr>
            <w:top w:val="none" w:sz="0" w:space="0" w:color="auto"/>
            <w:left w:val="none" w:sz="0" w:space="0" w:color="auto"/>
            <w:bottom w:val="none" w:sz="0" w:space="0" w:color="auto"/>
            <w:right w:val="none" w:sz="0" w:space="0" w:color="auto"/>
          </w:divBdr>
        </w:div>
        <w:div w:id="1304656108">
          <w:marLeft w:val="0"/>
          <w:marRight w:val="0"/>
          <w:marTop w:val="0"/>
          <w:marBottom w:val="0"/>
          <w:divBdr>
            <w:top w:val="none" w:sz="0" w:space="0" w:color="auto"/>
            <w:left w:val="none" w:sz="0" w:space="0" w:color="auto"/>
            <w:bottom w:val="none" w:sz="0" w:space="0" w:color="auto"/>
            <w:right w:val="none" w:sz="0" w:space="0" w:color="auto"/>
          </w:divBdr>
        </w:div>
        <w:div w:id="738868171">
          <w:marLeft w:val="0"/>
          <w:marRight w:val="0"/>
          <w:marTop w:val="0"/>
          <w:marBottom w:val="0"/>
          <w:divBdr>
            <w:top w:val="none" w:sz="0" w:space="0" w:color="auto"/>
            <w:left w:val="none" w:sz="0" w:space="0" w:color="auto"/>
            <w:bottom w:val="none" w:sz="0" w:space="0" w:color="auto"/>
            <w:right w:val="none" w:sz="0" w:space="0" w:color="auto"/>
          </w:divBdr>
        </w:div>
        <w:div w:id="21561636">
          <w:marLeft w:val="0"/>
          <w:marRight w:val="0"/>
          <w:marTop w:val="0"/>
          <w:marBottom w:val="0"/>
          <w:divBdr>
            <w:top w:val="none" w:sz="0" w:space="0" w:color="auto"/>
            <w:left w:val="none" w:sz="0" w:space="0" w:color="auto"/>
            <w:bottom w:val="none" w:sz="0" w:space="0" w:color="auto"/>
            <w:right w:val="none" w:sz="0" w:space="0" w:color="auto"/>
          </w:divBdr>
        </w:div>
        <w:div w:id="1227882859">
          <w:marLeft w:val="0"/>
          <w:marRight w:val="0"/>
          <w:marTop w:val="0"/>
          <w:marBottom w:val="0"/>
          <w:divBdr>
            <w:top w:val="none" w:sz="0" w:space="0" w:color="auto"/>
            <w:left w:val="none" w:sz="0" w:space="0" w:color="auto"/>
            <w:bottom w:val="none" w:sz="0" w:space="0" w:color="auto"/>
            <w:right w:val="none" w:sz="0" w:space="0" w:color="auto"/>
          </w:divBdr>
        </w:div>
        <w:div w:id="1894196763">
          <w:marLeft w:val="0"/>
          <w:marRight w:val="0"/>
          <w:marTop w:val="0"/>
          <w:marBottom w:val="0"/>
          <w:divBdr>
            <w:top w:val="none" w:sz="0" w:space="0" w:color="auto"/>
            <w:left w:val="none" w:sz="0" w:space="0" w:color="auto"/>
            <w:bottom w:val="none" w:sz="0" w:space="0" w:color="auto"/>
            <w:right w:val="none" w:sz="0" w:space="0" w:color="auto"/>
          </w:divBdr>
        </w:div>
        <w:div w:id="1747537165">
          <w:marLeft w:val="0"/>
          <w:marRight w:val="0"/>
          <w:marTop w:val="0"/>
          <w:marBottom w:val="0"/>
          <w:divBdr>
            <w:top w:val="none" w:sz="0" w:space="0" w:color="auto"/>
            <w:left w:val="none" w:sz="0" w:space="0" w:color="auto"/>
            <w:bottom w:val="none" w:sz="0" w:space="0" w:color="auto"/>
            <w:right w:val="none" w:sz="0" w:space="0" w:color="auto"/>
          </w:divBdr>
        </w:div>
        <w:div w:id="2077388379">
          <w:marLeft w:val="0"/>
          <w:marRight w:val="0"/>
          <w:marTop w:val="0"/>
          <w:marBottom w:val="0"/>
          <w:divBdr>
            <w:top w:val="none" w:sz="0" w:space="0" w:color="auto"/>
            <w:left w:val="none" w:sz="0" w:space="0" w:color="auto"/>
            <w:bottom w:val="none" w:sz="0" w:space="0" w:color="auto"/>
            <w:right w:val="none" w:sz="0" w:space="0" w:color="auto"/>
          </w:divBdr>
        </w:div>
        <w:div w:id="921455211">
          <w:marLeft w:val="0"/>
          <w:marRight w:val="0"/>
          <w:marTop w:val="0"/>
          <w:marBottom w:val="0"/>
          <w:divBdr>
            <w:top w:val="none" w:sz="0" w:space="0" w:color="auto"/>
            <w:left w:val="none" w:sz="0" w:space="0" w:color="auto"/>
            <w:bottom w:val="none" w:sz="0" w:space="0" w:color="auto"/>
            <w:right w:val="none" w:sz="0" w:space="0" w:color="auto"/>
          </w:divBdr>
        </w:div>
      </w:divsChild>
    </w:div>
    <w:div w:id="191920599">
      <w:bodyDiv w:val="1"/>
      <w:marLeft w:val="0"/>
      <w:marRight w:val="0"/>
      <w:marTop w:val="0"/>
      <w:marBottom w:val="0"/>
      <w:divBdr>
        <w:top w:val="none" w:sz="0" w:space="0" w:color="auto"/>
        <w:left w:val="none" w:sz="0" w:space="0" w:color="auto"/>
        <w:bottom w:val="none" w:sz="0" w:space="0" w:color="auto"/>
        <w:right w:val="none" w:sz="0" w:space="0" w:color="auto"/>
      </w:divBdr>
    </w:div>
    <w:div w:id="264968861">
      <w:bodyDiv w:val="1"/>
      <w:marLeft w:val="0"/>
      <w:marRight w:val="0"/>
      <w:marTop w:val="0"/>
      <w:marBottom w:val="0"/>
      <w:divBdr>
        <w:top w:val="none" w:sz="0" w:space="0" w:color="auto"/>
        <w:left w:val="none" w:sz="0" w:space="0" w:color="auto"/>
        <w:bottom w:val="none" w:sz="0" w:space="0" w:color="auto"/>
        <w:right w:val="none" w:sz="0" w:space="0" w:color="auto"/>
      </w:divBdr>
      <w:divsChild>
        <w:div w:id="541088945">
          <w:marLeft w:val="0"/>
          <w:marRight w:val="0"/>
          <w:marTop w:val="0"/>
          <w:marBottom w:val="0"/>
          <w:divBdr>
            <w:top w:val="none" w:sz="0" w:space="0" w:color="auto"/>
            <w:left w:val="none" w:sz="0" w:space="0" w:color="auto"/>
            <w:bottom w:val="none" w:sz="0" w:space="0" w:color="auto"/>
            <w:right w:val="none" w:sz="0" w:space="0" w:color="auto"/>
          </w:divBdr>
          <w:divsChild>
            <w:div w:id="158738864">
              <w:marLeft w:val="0"/>
              <w:marRight w:val="0"/>
              <w:marTop w:val="0"/>
              <w:marBottom w:val="0"/>
              <w:divBdr>
                <w:top w:val="none" w:sz="0" w:space="0" w:color="auto"/>
                <w:left w:val="none" w:sz="0" w:space="0" w:color="auto"/>
                <w:bottom w:val="none" w:sz="0" w:space="0" w:color="auto"/>
                <w:right w:val="none" w:sz="0" w:space="0" w:color="auto"/>
              </w:divBdr>
            </w:div>
            <w:div w:id="1718582854">
              <w:marLeft w:val="0"/>
              <w:marRight w:val="0"/>
              <w:marTop w:val="0"/>
              <w:marBottom w:val="0"/>
              <w:divBdr>
                <w:top w:val="none" w:sz="0" w:space="0" w:color="auto"/>
                <w:left w:val="none" w:sz="0" w:space="0" w:color="auto"/>
                <w:bottom w:val="none" w:sz="0" w:space="0" w:color="auto"/>
                <w:right w:val="none" w:sz="0" w:space="0" w:color="auto"/>
              </w:divBdr>
            </w:div>
            <w:div w:id="1781757439">
              <w:marLeft w:val="0"/>
              <w:marRight w:val="0"/>
              <w:marTop w:val="0"/>
              <w:marBottom w:val="0"/>
              <w:divBdr>
                <w:top w:val="none" w:sz="0" w:space="0" w:color="auto"/>
                <w:left w:val="none" w:sz="0" w:space="0" w:color="auto"/>
                <w:bottom w:val="none" w:sz="0" w:space="0" w:color="auto"/>
                <w:right w:val="none" w:sz="0" w:space="0" w:color="auto"/>
              </w:divBdr>
            </w:div>
            <w:div w:id="1962611565">
              <w:marLeft w:val="0"/>
              <w:marRight w:val="0"/>
              <w:marTop w:val="0"/>
              <w:marBottom w:val="0"/>
              <w:divBdr>
                <w:top w:val="none" w:sz="0" w:space="0" w:color="auto"/>
                <w:left w:val="none" w:sz="0" w:space="0" w:color="auto"/>
                <w:bottom w:val="none" w:sz="0" w:space="0" w:color="auto"/>
                <w:right w:val="none" w:sz="0" w:space="0" w:color="auto"/>
              </w:divBdr>
            </w:div>
            <w:div w:id="1304701860">
              <w:marLeft w:val="0"/>
              <w:marRight w:val="0"/>
              <w:marTop w:val="0"/>
              <w:marBottom w:val="0"/>
              <w:divBdr>
                <w:top w:val="none" w:sz="0" w:space="0" w:color="auto"/>
                <w:left w:val="none" w:sz="0" w:space="0" w:color="auto"/>
                <w:bottom w:val="none" w:sz="0" w:space="0" w:color="auto"/>
                <w:right w:val="none" w:sz="0" w:space="0" w:color="auto"/>
              </w:divBdr>
            </w:div>
            <w:div w:id="880289252">
              <w:marLeft w:val="0"/>
              <w:marRight w:val="0"/>
              <w:marTop w:val="0"/>
              <w:marBottom w:val="0"/>
              <w:divBdr>
                <w:top w:val="none" w:sz="0" w:space="0" w:color="auto"/>
                <w:left w:val="none" w:sz="0" w:space="0" w:color="auto"/>
                <w:bottom w:val="none" w:sz="0" w:space="0" w:color="auto"/>
                <w:right w:val="none" w:sz="0" w:space="0" w:color="auto"/>
              </w:divBdr>
            </w:div>
            <w:div w:id="954794063">
              <w:marLeft w:val="0"/>
              <w:marRight w:val="0"/>
              <w:marTop w:val="0"/>
              <w:marBottom w:val="0"/>
              <w:divBdr>
                <w:top w:val="none" w:sz="0" w:space="0" w:color="auto"/>
                <w:left w:val="none" w:sz="0" w:space="0" w:color="auto"/>
                <w:bottom w:val="none" w:sz="0" w:space="0" w:color="auto"/>
                <w:right w:val="none" w:sz="0" w:space="0" w:color="auto"/>
              </w:divBdr>
            </w:div>
            <w:div w:id="1611083161">
              <w:marLeft w:val="0"/>
              <w:marRight w:val="0"/>
              <w:marTop w:val="0"/>
              <w:marBottom w:val="0"/>
              <w:divBdr>
                <w:top w:val="none" w:sz="0" w:space="0" w:color="auto"/>
                <w:left w:val="none" w:sz="0" w:space="0" w:color="auto"/>
                <w:bottom w:val="none" w:sz="0" w:space="0" w:color="auto"/>
                <w:right w:val="none" w:sz="0" w:space="0" w:color="auto"/>
              </w:divBdr>
            </w:div>
            <w:div w:id="1312246333">
              <w:marLeft w:val="0"/>
              <w:marRight w:val="0"/>
              <w:marTop w:val="0"/>
              <w:marBottom w:val="0"/>
              <w:divBdr>
                <w:top w:val="none" w:sz="0" w:space="0" w:color="auto"/>
                <w:left w:val="none" w:sz="0" w:space="0" w:color="auto"/>
                <w:bottom w:val="none" w:sz="0" w:space="0" w:color="auto"/>
                <w:right w:val="none" w:sz="0" w:space="0" w:color="auto"/>
              </w:divBdr>
            </w:div>
            <w:div w:id="435904675">
              <w:marLeft w:val="0"/>
              <w:marRight w:val="0"/>
              <w:marTop w:val="0"/>
              <w:marBottom w:val="0"/>
              <w:divBdr>
                <w:top w:val="none" w:sz="0" w:space="0" w:color="auto"/>
                <w:left w:val="none" w:sz="0" w:space="0" w:color="auto"/>
                <w:bottom w:val="none" w:sz="0" w:space="0" w:color="auto"/>
                <w:right w:val="none" w:sz="0" w:space="0" w:color="auto"/>
              </w:divBdr>
            </w:div>
            <w:div w:id="1625228498">
              <w:marLeft w:val="0"/>
              <w:marRight w:val="0"/>
              <w:marTop w:val="0"/>
              <w:marBottom w:val="0"/>
              <w:divBdr>
                <w:top w:val="none" w:sz="0" w:space="0" w:color="auto"/>
                <w:left w:val="none" w:sz="0" w:space="0" w:color="auto"/>
                <w:bottom w:val="none" w:sz="0" w:space="0" w:color="auto"/>
                <w:right w:val="none" w:sz="0" w:space="0" w:color="auto"/>
              </w:divBdr>
            </w:div>
            <w:div w:id="1973365552">
              <w:marLeft w:val="0"/>
              <w:marRight w:val="0"/>
              <w:marTop w:val="0"/>
              <w:marBottom w:val="0"/>
              <w:divBdr>
                <w:top w:val="none" w:sz="0" w:space="0" w:color="auto"/>
                <w:left w:val="none" w:sz="0" w:space="0" w:color="auto"/>
                <w:bottom w:val="none" w:sz="0" w:space="0" w:color="auto"/>
                <w:right w:val="none" w:sz="0" w:space="0" w:color="auto"/>
              </w:divBdr>
            </w:div>
            <w:div w:id="1678652907">
              <w:marLeft w:val="0"/>
              <w:marRight w:val="0"/>
              <w:marTop w:val="0"/>
              <w:marBottom w:val="0"/>
              <w:divBdr>
                <w:top w:val="none" w:sz="0" w:space="0" w:color="auto"/>
                <w:left w:val="none" w:sz="0" w:space="0" w:color="auto"/>
                <w:bottom w:val="none" w:sz="0" w:space="0" w:color="auto"/>
                <w:right w:val="none" w:sz="0" w:space="0" w:color="auto"/>
              </w:divBdr>
            </w:div>
            <w:div w:id="82728272">
              <w:marLeft w:val="0"/>
              <w:marRight w:val="0"/>
              <w:marTop w:val="0"/>
              <w:marBottom w:val="0"/>
              <w:divBdr>
                <w:top w:val="none" w:sz="0" w:space="0" w:color="auto"/>
                <w:left w:val="none" w:sz="0" w:space="0" w:color="auto"/>
                <w:bottom w:val="none" w:sz="0" w:space="0" w:color="auto"/>
                <w:right w:val="none" w:sz="0" w:space="0" w:color="auto"/>
              </w:divBdr>
            </w:div>
            <w:div w:id="2067100740">
              <w:marLeft w:val="0"/>
              <w:marRight w:val="0"/>
              <w:marTop w:val="0"/>
              <w:marBottom w:val="0"/>
              <w:divBdr>
                <w:top w:val="none" w:sz="0" w:space="0" w:color="auto"/>
                <w:left w:val="none" w:sz="0" w:space="0" w:color="auto"/>
                <w:bottom w:val="none" w:sz="0" w:space="0" w:color="auto"/>
                <w:right w:val="none" w:sz="0" w:space="0" w:color="auto"/>
              </w:divBdr>
            </w:div>
            <w:div w:id="1821262304">
              <w:marLeft w:val="0"/>
              <w:marRight w:val="0"/>
              <w:marTop w:val="0"/>
              <w:marBottom w:val="0"/>
              <w:divBdr>
                <w:top w:val="none" w:sz="0" w:space="0" w:color="auto"/>
                <w:left w:val="none" w:sz="0" w:space="0" w:color="auto"/>
                <w:bottom w:val="none" w:sz="0" w:space="0" w:color="auto"/>
                <w:right w:val="none" w:sz="0" w:space="0" w:color="auto"/>
              </w:divBdr>
            </w:div>
            <w:div w:id="1307706939">
              <w:marLeft w:val="0"/>
              <w:marRight w:val="0"/>
              <w:marTop w:val="0"/>
              <w:marBottom w:val="0"/>
              <w:divBdr>
                <w:top w:val="none" w:sz="0" w:space="0" w:color="auto"/>
                <w:left w:val="none" w:sz="0" w:space="0" w:color="auto"/>
                <w:bottom w:val="none" w:sz="0" w:space="0" w:color="auto"/>
                <w:right w:val="none" w:sz="0" w:space="0" w:color="auto"/>
              </w:divBdr>
            </w:div>
            <w:div w:id="2084139578">
              <w:marLeft w:val="0"/>
              <w:marRight w:val="0"/>
              <w:marTop w:val="0"/>
              <w:marBottom w:val="0"/>
              <w:divBdr>
                <w:top w:val="none" w:sz="0" w:space="0" w:color="auto"/>
                <w:left w:val="none" w:sz="0" w:space="0" w:color="auto"/>
                <w:bottom w:val="none" w:sz="0" w:space="0" w:color="auto"/>
                <w:right w:val="none" w:sz="0" w:space="0" w:color="auto"/>
              </w:divBdr>
            </w:div>
            <w:div w:id="1150516538">
              <w:marLeft w:val="0"/>
              <w:marRight w:val="0"/>
              <w:marTop w:val="0"/>
              <w:marBottom w:val="0"/>
              <w:divBdr>
                <w:top w:val="none" w:sz="0" w:space="0" w:color="auto"/>
                <w:left w:val="none" w:sz="0" w:space="0" w:color="auto"/>
                <w:bottom w:val="none" w:sz="0" w:space="0" w:color="auto"/>
                <w:right w:val="none" w:sz="0" w:space="0" w:color="auto"/>
              </w:divBdr>
            </w:div>
            <w:div w:id="1332677430">
              <w:marLeft w:val="0"/>
              <w:marRight w:val="0"/>
              <w:marTop w:val="0"/>
              <w:marBottom w:val="0"/>
              <w:divBdr>
                <w:top w:val="none" w:sz="0" w:space="0" w:color="auto"/>
                <w:left w:val="none" w:sz="0" w:space="0" w:color="auto"/>
                <w:bottom w:val="none" w:sz="0" w:space="0" w:color="auto"/>
                <w:right w:val="none" w:sz="0" w:space="0" w:color="auto"/>
              </w:divBdr>
            </w:div>
            <w:div w:id="335614774">
              <w:marLeft w:val="0"/>
              <w:marRight w:val="0"/>
              <w:marTop w:val="0"/>
              <w:marBottom w:val="0"/>
              <w:divBdr>
                <w:top w:val="none" w:sz="0" w:space="0" w:color="auto"/>
                <w:left w:val="none" w:sz="0" w:space="0" w:color="auto"/>
                <w:bottom w:val="none" w:sz="0" w:space="0" w:color="auto"/>
                <w:right w:val="none" w:sz="0" w:space="0" w:color="auto"/>
              </w:divBdr>
            </w:div>
            <w:div w:id="318385427">
              <w:marLeft w:val="0"/>
              <w:marRight w:val="0"/>
              <w:marTop w:val="0"/>
              <w:marBottom w:val="0"/>
              <w:divBdr>
                <w:top w:val="none" w:sz="0" w:space="0" w:color="auto"/>
                <w:left w:val="none" w:sz="0" w:space="0" w:color="auto"/>
                <w:bottom w:val="none" w:sz="0" w:space="0" w:color="auto"/>
                <w:right w:val="none" w:sz="0" w:space="0" w:color="auto"/>
              </w:divBdr>
            </w:div>
            <w:div w:id="1190531220">
              <w:marLeft w:val="0"/>
              <w:marRight w:val="0"/>
              <w:marTop w:val="0"/>
              <w:marBottom w:val="0"/>
              <w:divBdr>
                <w:top w:val="none" w:sz="0" w:space="0" w:color="auto"/>
                <w:left w:val="none" w:sz="0" w:space="0" w:color="auto"/>
                <w:bottom w:val="none" w:sz="0" w:space="0" w:color="auto"/>
                <w:right w:val="none" w:sz="0" w:space="0" w:color="auto"/>
              </w:divBdr>
            </w:div>
            <w:div w:id="106052161">
              <w:marLeft w:val="0"/>
              <w:marRight w:val="0"/>
              <w:marTop w:val="0"/>
              <w:marBottom w:val="0"/>
              <w:divBdr>
                <w:top w:val="none" w:sz="0" w:space="0" w:color="auto"/>
                <w:left w:val="none" w:sz="0" w:space="0" w:color="auto"/>
                <w:bottom w:val="none" w:sz="0" w:space="0" w:color="auto"/>
                <w:right w:val="none" w:sz="0" w:space="0" w:color="auto"/>
              </w:divBdr>
            </w:div>
            <w:div w:id="1984045572">
              <w:marLeft w:val="0"/>
              <w:marRight w:val="0"/>
              <w:marTop w:val="0"/>
              <w:marBottom w:val="0"/>
              <w:divBdr>
                <w:top w:val="none" w:sz="0" w:space="0" w:color="auto"/>
                <w:left w:val="none" w:sz="0" w:space="0" w:color="auto"/>
                <w:bottom w:val="none" w:sz="0" w:space="0" w:color="auto"/>
                <w:right w:val="none" w:sz="0" w:space="0" w:color="auto"/>
              </w:divBdr>
            </w:div>
            <w:div w:id="1991713808">
              <w:marLeft w:val="0"/>
              <w:marRight w:val="0"/>
              <w:marTop w:val="0"/>
              <w:marBottom w:val="0"/>
              <w:divBdr>
                <w:top w:val="none" w:sz="0" w:space="0" w:color="auto"/>
                <w:left w:val="none" w:sz="0" w:space="0" w:color="auto"/>
                <w:bottom w:val="none" w:sz="0" w:space="0" w:color="auto"/>
                <w:right w:val="none" w:sz="0" w:space="0" w:color="auto"/>
              </w:divBdr>
            </w:div>
            <w:div w:id="2086225061">
              <w:marLeft w:val="0"/>
              <w:marRight w:val="0"/>
              <w:marTop w:val="0"/>
              <w:marBottom w:val="0"/>
              <w:divBdr>
                <w:top w:val="none" w:sz="0" w:space="0" w:color="auto"/>
                <w:left w:val="none" w:sz="0" w:space="0" w:color="auto"/>
                <w:bottom w:val="none" w:sz="0" w:space="0" w:color="auto"/>
                <w:right w:val="none" w:sz="0" w:space="0" w:color="auto"/>
              </w:divBdr>
            </w:div>
            <w:div w:id="2139565101">
              <w:marLeft w:val="0"/>
              <w:marRight w:val="0"/>
              <w:marTop w:val="0"/>
              <w:marBottom w:val="0"/>
              <w:divBdr>
                <w:top w:val="none" w:sz="0" w:space="0" w:color="auto"/>
                <w:left w:val="none" w:sz="0" w:space="0" w:color="auto"/>
                <w:bottom w:val="none" w:sz="0" w:space="0" w:color="auto"/>
                <w:right w:val="none" w:sz="0" w:space="0" w:color="auto"/>
              </w:divBdr>
            </w:div>
            <w:div w:id="1369182642">
              <w:marLeft w:val="0"/>
              <w:marRight w:val="0"/>
              <w:marTop w:val="0"/>
              <w:marBottom w:val="0"/>
              <w:divBdr>
                <w:top w:val="none" w:sz="0" w:space="0" w:color="auto"/>
                <w:left w:val="none" w:sz="0" w:space="0" w:color="auto"/>
                <w:bottom w:val="none" w:sz="0" w:space="0" w:color="auto"/>
                <w:right w:val="none" w:sz="0" w:space="0" w:color="auto"/>
              </w:divBdr>
            </w:div>
            <w:div w:id="1948387645">
              <w:marLeft w:val="0"/>
              <w:marRight w:val="0"/>
              <w:marTop w:val="0"/>
              <w:marBottom w:val="0"/>
              <w:divBdr>
                <w:top w:val="none" w:sz="0" w:space="0" w:color="auto"/>
                <w:left w:val="none" w:sz="0" w:space="0" w:color="auto"/>
                <w:bottom w:val="none" w:sz="0" w:space="0" w:color="auto"/>
                <w:right w:val="none" w:sz="0" w:space="0" w:color="auto"/>
              </w:divBdr>
            </w:div>
            <w:div w:id="1763792586">
              <w:marLeft w:val="0"/>
              <w:marRight w:val="0"/>
              <w:marTop w:val="0"/>
              <w:marBottom w:val="0"/>
              <w:divBdr>
                <w:top w:val="none" w:sz="0" w:space="0" w:color="auto"/>
                <w:left w:val="none" w:sz="0" w:space="0" w:color="auto"/>
                <w:bottom w:val="none" w:sz="0" w:space="0" w:color="auto"/>
                <w:right w:val="none" w:sz="0" w:space="0" w:color="auto"/>
              </w:divBdr>
            </w:div>
            <w:div w:id="372197472">
              <w:marLeft w:val="0"/>
              <w:marRight w:val="0"/>
              <w:marTop w:val="0"/>
              <w:marBottom w:val="0"/>
              <w:divBdr>
                <w:top w:val="none" w:sz="0" w:space="0" w:color="auto"/>
                <w:left w:val="none" w:sz="0" w:space="0" w:color="auto"/>
                <w:bottom w:val="none" w:sz="0" w:space="0" w:color="auto"/>
                <w:right w:val="none" w:sz="0" w:space="0" w:color="auto"/>
              </w:divBdr>
            </w:div>
            <w:div w:id="979924440">
              <w:marLeft w:val="0"/>
              <w:marRight w:val="0"/>
              <w:marTop w:val="0"/>
              <w:marBottom w:val="0"/>
              <w:divBdr>
                <w:top w:val="none" w:sz="0" w:space="0" w:color="auto"/>
                <w:left w:val="none" w:sz="0" w:space="0" w:color="auto"/>
                <w:bottom w:val="none" w:sz="0" w:space="0" w:color="auto"/>
                <w:right w:val="none" w:sz="0" w:space="0" w:color="auto"/>
              </w:divBdr>
            </w:div>
            <w:div w:id="2006784588">
              <w:marLeft w:val="0"/>
              <w:marRight w:val="0"/>
              <w:marTop w:val="0"/>
              <w:marBottom w:val="0"/>
              <w:divBdr>
                <w:top w:val="none" w:sz="0" w:space="0" w:color="auto"/>
                <w:left w:val="none" w:sz="0" w:space="0" w:color="auto"/>
                <w:bottom w:val="none" w:sz="0" w:space="0" w:color="auto"/>
                <w:right w:val="none" w:sz="0" w:space="0" w:color="auto"/>
              </w:divBdr>
            </w:div>
            <w:div w:id="1729063394">
              <w:marLeft w:val="0"/>
              <w:marRight w:val="0"/>
              <w:marTop w:val="0"/>
              <w:marBottom w:val="0"/>
              <w:divBdr>
                <w:top w:val="none" w:sz="0" w:space="0" w:color="auto"/>
                <w:left w:val="none" w:sz="0" w:space="0" w:color="auto"/>
                <w:bottom w:val="none" w:sz="0" w:space="0" w:color="auto"/>
                <w:right w:val="none" w:sz="0" w:space="0" w:color="auto"/>
              </w:divBdr>
            </w:div>
            <w:div w:id="649018585">
              <w:marLeft w:val="0"/>
              <w:marRight w:val="0"/>
              <w:marTop w:val="0"/>
              <w:marBottom w:val="0"/>
              <w:divBdr>
                <w:top w:val="none" w:sz="0" w:space="0" w:color="auto"/>
                <w:left w:val="none" w:sz="0" w:space="0" w:color="auto"/>
                <w:bottom w:val="none" w:sz="0" w:space="0" w:color="auto"/>
                <w:right w:val="none" w:sz="0" w:space="0" w:color="auto"/>
              </w:divBdr>
            </w:div>
            <w:div w:id="2041126252">
              <w:marLeft w:val="0"/>
              <w:marRight w:val="0"/>
              <w:marTop w:val="0"/>
              <w:marBottom w:val="0"/>
              <w:divBdr>
                <w:top w:val="none" w:sz="0" w:space="0" w:color="auto"/>
                <w:left w:val="none" w:sz="0" w:space="0" w:color="auto"/>
                <w:bottom w:val="none" w:sz="0" w:space="0" w:color="auto"/>
                <w:right w:val="none" w:sz="0" w:space="0" w:color="auto"/>
              </w:divBdr>
            </w:div>
            <w:div w:id="1184244644">
              <w:marLeft w:val="0"/>
              <w:marRight w:val="0"/>
              <w:marTop w:val="0"/>
              <w:marBottom w:val="0"/>
              <w:divBdr>
                <w:top w:val="none" w:sz="0" w:space="0" w:color="auto"/>
                <w:left w:val="none" w:sz="0" w:space="0" w:color="auto"/>
                <w:bottom w:val="none" w:sz="0" w:space="0" w:color="auto"/>
                <w:right w:val="none" w:sz="0" w:space="0" w:color="auto"/>
              </w:divBdr>
            </w:div>
            <w:div w:id="1305769971">
              <w:marLeft w:val="0"/>
              <w:marRight w:val="0"/>
              <w:marTop w:val="0"/>
              <w:marBottom w:val="0"/>
              <w:divBdr>
                <w:top w:val="none" w:sz="0" w:space="0" w:color="auto"/>
                <w:left w:val="none" w:sz="0" w:space="0" w:color="auto"/>
                <w:bottom w:val="none" w:sz="0" w:space="0" w:color="auto"/>
                <w:right w:val="none" w:sz="0" w:space="0" w:color="auto"/>
              </w:divBdr>
            </w:div>
            <w:div w:id="1377049783">
              <w:marLeft w:val="0"/>
              <w:marRight w:val="0"/>
              <w:marTop w:val="0"/>
              <w:marBottom w:val="0"/>
              <w:divBdr>
                <w:top w:val="none" w:sz="0" w:space="0" w:color="auto"/>
                <w:left w:val="none" w:sz="0" w:space="0" w:color="auto"/>
                <w:bottom w:val="none" w:sz="0" w:space="0" w:color="auto"/>
                <w:right w:val="none" w:sz="0" w:space="0" w:color="auto"/>
              </w:divBdr>
            </w:div>
            <w:div w:id="641236718">
              <w:marLeft w:val="0"/>
              <w:marRight w:val="0"/>
              <w:marTop w:val="0"/>
              <w:marBottom w:val="0"/>
              <w:divBdr>
                <w:top w:val="none" w:sz="0" w:space="0" w:color="auto"/>
                <w:left w:val="none" w:sz="0" w:space="0" w:color="auto"/>
                <w:bottom w:val="none" w:sz="0" w:space="0" w:color="auto"/>
                <w:right w:val="none" w:sz="0" w:space="0" w:color="auto"/>
              </w:divBdr>
            </w:div>
            <w:div w:id="322663205">
              <w:marLeft w:val="0"/>
              <w:marRight w:val="0"/>
              <w:marTop w:val="0"/>
              <w:marBottom w:val="0"/>
              <w:divBdr>
                <w:top w:val="none" w:sz="0" w:space="0" w:color="auto"/>
                <w:left w:val="none" w:sz="0" w:space="0" w:color="auto"/>
                <w:bottom w:val="none" w:sz="0" w:space="0" w:color="auto"/>
                <w:right w:val="none" w:sz="0" w:space="0" w:color="auto"/>
              </w:divBdr>
            </w:div>
            <w:div w:id="2008514434">
              <w:marLeft w:val="0"/>
              <w:marRight w:val="0"/>
              <w:marTop w:val="0"/>
              <w:marBottom w:val="0"/>
              <w:divBdr>
                <w:top w:val="none" w:sz="0" w:space="0" w:color="auto"/>
                <w:left w:val="none" w:sz="0" w:space="0" w:color="auto"/>
                <w:bottom w:val="none" w:sz="0" w:space="0" w:color="auto"/>
                <w:right w:val="none" w:sz="0" w:space="0" w:color="auto"/>
              </w:divBdr>
            </w:div>
            <w:div w:id="1002970645">
              <w:marLeft w:val="0"/>
              <w:marRight w:val="0"/>
              <w:marTop w:val="0"/>
              <w:marBottom w:val="0"/>
              <w:divBdr>
                <w:top w:val="none" w:sz="0" w:space="0" w:color="auto"/>
                <w:left w:val="none" w:sz="0" w:space="0" w:color="auto"/>
                <w:bottom w:val="none" w:sz="0" w:space="0" w:color="auto"/>
                <w:right w:val="none" w:sz="0" w:space="0" w:color="auto"/>
              </w:divBdr>
            </w:div>
            <w:div w:id="339087441">
              <w:marLeft w:val="0"/>
              <w:marRight w:val="0"/>
              <w:marTop w:val="0"/>
              <w:marBottom w:val="0"/>
              <w:divBdr>
                <w:top w:val="none" w:sz="0" w:space="0" w:color="auto"/>
                <w:left w:val="none" w:sz="0" w:space="0" w:color="auto"/>
                <w:bottom w:val="none" w:sz="0" w:space="0" w:color="auto"/>
                <w:right w:val="none" w:sz="0" w:space="0" w:color="auto"/>
              </w:divBdr>
            </w:div>
            <w:div w:id="2126340401">
              <w:marLeft w:val="0"/>
              <w:marRight w:val="0"/>
              <w:marTop w:val="0"/>
              <w:marBottom w:val="0"/>
              <w:divBdr>
                <w:top w:val="none" w:sz="0" w:space="0" w:color="auto"/>
                <w:left w:val="none" w:sz="0" w:space="0" w:color="auto"/>
                <w:bottom w:val="none" w:sz="0" w:space="0" w:color="auto"/>
                <w:right w:val="none" w:sz="0" w:space="0" w:color="auto"/>
              </w:divBdr>
            </w:div>
            <w:div w:id="787889502">
              <w:marLeft w:val="0"/>
              <w:marRight w:val="0"/>
              <w:marTop w:val="0"/>
              <w:marBottom w:val="0"/>
              <w:divBdr>
                <w:top w:val="none" w:sz="0" w:space="0" w:color="auto"/>
                <w:left w:val="none" w:sz="0" w:space="0" w:color="auto"/>
                <w:bottom w:val="none" w:sz="0" w:space="0" w:color="auto"/>
                <w:right w:val="none" w:sz="0" w:space="0" w:color="auto"/>
              </w:divBdr>
            </w:div>
            <w:div w:id="1813937698">
              <w:marLeft w:val="0"/>
              <w:marRight w:val="0"/>
              <w:marTop w:val="0"/>
              <w:marBottom w:val="0"/>
              <w:divBdr>
                <w:top w:val="none" w:sz="0" w:space="0" w:color="auto"/>
                <w:left w:val="none" w:sz="0" w:space="0" w:color="auto"/>
                <w:bottom w:val="none" w:sz="0" w:space="0" w:color="auto"/>
                <w:right w:val="none" w:sz="0" w:space="0" w:color="auto"/>
              </w:divBdr>
            </w:div>
            <w:div w:id="156002417">
              <w:marLeft w:val="0"/>
              <w:marRight w:val="0"/>
              <w:marTop w:val="0"/>
              <w:marBottom w:val="0"/>
              <w:divBdr>
                <w:top w:val="none" w:sz="0" w:space="0" w:color="auto"/>
                <w:left w:val="none" w:sz="0" w:space="0" w:color="auto"/>
                <w:bottom w:val="none" w:sz="0" w:space="0" w:color="auto"/>
                <w:right w:val="none" w:sz="0" w:space="0" w:color="auto"/>
              </w:divBdr>
            </w:div>
            <w:div w:id="1624145780">
              <w:marLeft w:val="0"/>
              <w:marRight w:val="0"/>
              <w:marTop w:val="0"/>
              <w:marBottom w:val="0"/>
              <w:divBdr>
                <w:top w:val="none" w:sz="0" w:space="0" w:color="auto"/>
                <w:left w:val="none" w:sz="0" w:space="0" w:color="auto"/>
                <w:bottom w:val="none" w:sz="0" w:space="0" w:color="auto"/>
                <w:right w:val="none" w:sz="0" w:space="0" w:color="auto"/>
              </w:divBdr>
            </w:div>
            <w:div w:id="1120104657">
              <w:marLeft w:val="0"/>
              <w:marRight w:val="0"/>
              <w:marTop w:val="0"/>
              <w:marBottom w:val="0"/>
              <w:divBdr>
                <w:top w:val="none" w:sz="0" w:space="0" w:color="auto"/>
                <w:left w:val="none" w:sz="0" w:space="0" w:color="auto"/>
                <w:bottom w:val="none" w:sz="0" w:space="0" w:color="auto"/>
                <w:right w:val="none" w:sz="0" w:space="0" w:color="auto"/>
              </w:divBdr>
            </w:div>
            <w:div w:id="716507914">
              <w:marLeft w:val="0"/>
              <w:marRight w:val="0"/>
              <w:marTop w:val="0"/>
              <w:marBottom w:val="0"/>
              <w:divBdr>
                <w:top w:val="none" w:sz="0" w:space="0" w:color="auto"/>
                <w:left w:val="none" w:sz="0" w:space="0" w:color="auto"/>
                <w:bottom w:val="none" w:sz="0" w:space="0" w:color="auto"/>
                <w:right w:val="none" w:sz="0" w:space="0" w:color="auto"/>
              </w:divBdr>
            </w:div>
            <w:div w:id="2079281539">
              <w:marLeft w:val="0"/>
              <w:marRight w:val="0"/>
              <w:marTop w:val="0"/>
              <w:marBottom w:val="0"/>
              <w:divBdr>
                <w:top w:val="none" w:sz="0" w:space="0" w:color="auto"/>
                <w:left w:val="none" w:sz="0" w:space="0" w:color="auto"/>
                <w:bottom w:val="none" w:sz="0" w:space="0" w:color="auto"/>
                <w:right w:val="none" w:sz="0" w:space="0" w:color="auto"/>
              </w:divBdr>
            </w:div>
            <w:div w:id="672879296">
              <w:marLeft w:val="0"/>
              <w:marRight w:val="0"/>
              <w:marTop w:val="0"/>
              <w:marBottom w:val="0"/>
              <w:divBdr>
                <w:top w:val="none" w:sz="0" w:space="0" w:color="auto"/>
                <w:left w:val="none" w:sz="0" w:space="0" w:color="auto"/>
                <w:bottom w:val="none" w:sz="0" w:space="0" w:color="auto"/>
                <w:right w:val="none" w:sz="0" w:space="0" w:color="auto"/>
              </w:divBdr>
            </w:div>
            <w:div w:id="1081176861">
              <w:marLeft w:val="0"/>
              <w:marRight w:val="0"/>
              <w:marTop w:val="0"/>
              <w:marBottom w:val="0"/>
              <w:divBdr>
                <w:top w:val="none" w:sz="0" w:space="0" w:color="auto"/>
                <w:left w:val="none" w:sz="0" w:space="0" w:color="auto"/>
                <w:bottom w:val="none" w:sz="0" w:space="0" w:color="auto"/>
                <w:right w:val="none" w:sz="0" w:space="0" w:color="auto"/>
              </w:divBdr>
            </w:div>
            <w:div w:id="1467888424">
              <w:marLeft w:val="0"/>
              <w:marRight w:val="0"/>
              <w:marTop w:val="0"/>
              <w:marBottom w:val="0"/>
              <w:divBdr>
                <w:top w:val="none" w:sz="0" w:space="0" w:color="auto"/>
                <w:left w:val="none" w:sz="0" w:space="0" w:color="auto"/>
                <w:bottom w:val="none" w:sz="0" w:space="0" w:color="auto"/>
                <w:right w:val="none" w:sz="0" w:space="0" w:color="auto"/>
              </w:divBdr>
            </w:div>
            <w:div w:id="397436969">
              <w:marLeft w:val="0"/>
              <w:marRight w:val="0"/>
              <w:marTop w:val="0"/>
              <w:marBottom w:val="0"/>
              <w:divBdr>
                <w:top w:val="none" w:sz="0" w:space="0" w:color="auto"/>
                <w:left w:val="none" w:sz="0" w:space="0" w:color="auto"/>
                <w:bottom w:val="none" w:sz="0" w:space="0" w:color="auto"/>
                <w:right w:val="none" w:sz="0" w:space="0" w:color="auto"/>
              </w:divBdr>
            </w:div>
            <w:div w:id="623390651">
              <w:marLeft w:val="0"/>
              <w:marRight w:val="0"/>
              <w:marTop w:val="0"/>
              <w:marBottom w:val="0"/>
              <w:divBdr>
                <w:top w:val="none" w:sz="0" w:space="0" w:color="auto"/>
                <w:left w:val="none" w:sz="0" w:space="0" w:color="auto"/>
                <w:bottom w:val="none" w:sz="0" w:space="0" w:color="auto"/>
                <w:right w:val="none" w:sz="0" w:space="0" w:color="auto"/>
              </w:divBdr>
            </w:div>
            <w:div w:id="597716496">
              <w:marLeft w:val="0"/>
              <w:marRight w:val="0"/>
              <w:marTop w:val="0"/>
              <w:marBottom w:val="0"/>
              <w:divBdr>
                <w:top w:val="none" w:sz="0" w:space="0" w:color="auto"/>
                <w:left w:val="none" w:sz="0" w:space="0" w:color="auto"/>
                <w:bottom w:val="none" w:sz="0" w:space="0" w:color="auto"/>
                <w:right w:val="none" w:sz="0" w:space="0" w:color="auto"/>
              </w:divBdr>
            </w:div>
            <w:div w:id="1950159378">
              <w:marLeft w:val="0"/>
              <w:marRight w:val="0"/>
              <w:marTop w:val="0"/>
              <w:marBottom w:val="0"/>
              <w:divBdr>
                <w:top w:val="none" w:sz="0" w:space="0" w:color="auto"/>
                <w:left w:val="none" w:sz="0" w:space="0" w:color="auto"/>
                <w:bottom w:val="none" w:sz="0" w:space="0" w:color="auto"/>
                <w:right w:val="none" w:sz="0" w:space="0" w:color="auto"/>
              </w:divBdr>
            </w:div>
            <w:div w:id="1147093689">
              <w:marLeft w:val="0"/>
              <w:marRight w:val="0"/>
              <w:marTop w:val="0"/>
              <w:marBottom w:val="0"/>
              <w:divBdr>
                <w:top w:val="none" w:sz="0" w:space="0" w:color="auto"/>
                <w:left w:val="none" w:sz="0" w:space="0" w:color="auto"/>
                <w:bottom w:val="none" w:sz="0" w:space="0" w:color="auto"/>
                <w:right w:val="none" w:sz="0" w:space="0" w:color="auto"/>
              </w:divBdr>
            </w:div>
            <w:div w:id="1009255222">
              <w:marLeft w:val="0"/>
              <w:marRight w:val="0"/>
              <w:marTop w:val="0"/>
              <w:marBottom w:val="0"/>
              <w:divBdr>
                <w:top w:val="none" w:sz="0" w:space="0" w:color="auto"/>
                <w:left w:val="none" w:sz="0" w:space="0" w:color="auto"/>
                <w:bottom w:val="none" w:sz="0" w:space="0" w:color="auto"/>
                <w:right w:val="none" w:sz="0" w:space="0" w:color="auto"/>
              </w:divBdr>
            </w:div>
            <w:div w:id="11021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3108">
      <w:bodyDiv w:val="1"/>
      <w:marLeft w:val="0"/>
      <w:marRight w:val="0"/>
      <w:marTop w:val="0"/>
      <w:marBottom w:val="0"/>
      <w:divBdr>
        <w:top w:val="none" w:sz="0" w:space="0" w:color="auto"/>
        <w:left w:val="none" w:sz="0" w:space="0" w:color="auto"/>
        <w:bottom w:val="none" w:sz="0" w:space="0" w:color="auto"/>
        <w:right w:val="none" w:sz="0" w:space="0" w:color="auto"/>
      </w:divBdr>
      <w:divsChild>
        <w:div w:id="120613068">
          <w:marLeft w:val="0"/>
          <w:marRight w:val="0"/>
          <w:marTop w:val="0"/>
          <w:marBottom w:val="0"/>
          <w:divBdr>
            <w:top w:val="none" w:sz="0" w:space="0" w:color="auto"/>
            <w:left w:val="none" w:sz="0" w:space="0" w:color="auto"/>
            <w:bottom w:val="none" w:sz="0" w:space="0" w:color="auto"/>
            <w:right w:val="none" w:sz="0" w:space="0" w:color="auto"/>
          </w:divBdr>
        </w:div>
        <w:div w:id="36007829">
          <w:marLeft w:val="0"/>
          <w:marRight w:val="0"/>
          <w:marTop w:val="0"/>
          <w:marBottom w:val="0"/>
          <w:divBdr>
            <w:top w:val="none" w:sz="0" w:space="0" w:color="auto"/>
            <w:left w:val="none" w:sz="0" w:space="0" w:color="auto"/>
            <w:bottom w:val="none" w:sz="0" w:space="0" w:color="auto"/>
            <w:right w:val="none" w:sz="0" w:space="0" w:color="auto"/>
          </w:divBdr>
        </w:div>
        <w:div w:id="1496723508">
          <w:marLeft w:val="0"/>
          <w:marRight w:val="0"/>
          <w:marTop w:val="0"/>
          <w:marBottom w:val="0"/>
          <w:divBdr>
            <w:top w:val="none" w:sz="0" w:space="0" w:color="auto"/>
            <w:left w:val="none" w:sz="0" w:space="0" w:color="auto"/>
            <w:bottom w:val="none" w:sz="0" w:space="0" w:color="auto"/>
            <w:right w:val="none" w:sz="0" w:space="0" w:color="auto"/>
          </w:divBdr>
        </w:div>
        <w:div w:id="1464927615">
          <w:marLeft w:val="0"/>
          <w:marRight w:val="0"/>
          <w:marTop w:val="0"/>
          <w:marBottom w:val="0"/>
          <w:divBdr>
            <w:top w:val="none" w:sz="0" w:space="0" w:color="auto"/>
            <w:left w:val="none" w:sz="0" w:space="0" w:color="auto"/>
            <w:bottom w:val="none" w:sz="0" w:space="0" w:color="auto"/>
            <w:right w:val="none" w:sz="0" w:space="0" w:color="auto"/>
          </w:divBdr>
        </w:div>
        <w:div w:id="1921598537">
          <w:marLeft w:val="0"/>
          <w:marRight w:val="0"/>
          <w:marTop w:val="0"/>
          <w:marBottom w:val="0"/>
          <w:divBdr>
            <w:top w:val="none" w:sz="0" w:space="0" w:color="auto"/>
            <w:left w:val="none" w:sz="0" w:space="0" w:color="auto"/>
            <w:bottom w:val="none" w:sz="0" w:space="0" w:color="auto"/>
            <w:right w:val="none" w:sz="0" w:space="0" w:color="auto"/>
          </w:divBdr>
        </w:div>
        <w:div w:id="962542571">
          <w:marLeft w:val="0"/>
          <w:marRight w:val="0"/>
          <w:marTop w:val="0"/>
          <w:marBottom w:val="0"/>
          <w:divBdr>
            <w:top w:val="none" w:sz="0" w:space="0" w:color="auto"/>
            <w:left w:val="none" w:sz="0" w:space="0" w:color="auto"/>
            <w:bottom w:val="none" w:sz="0" w:space="0" w:color="auto"/>
            <w:right w:val="none" w:sz="0" w:space="0" w:color="auto"/>
          </w:divBdr>
        </w:div>
        <w:div w:id="1024752289">
          <w:marLeft w:val="0"/>
          <w:marRight w:val="0"/>
          <w:marTop w:val="0"/>
          <w:marBottom w:val="0"/>
          <w:divBdr>
            <w:top w:val="none" w:sz="0" w:space="0" w:color="auto"/>
            <w:left w:val="none" w:sz="0" w:space="0" w:color="auto"/>
            <w:bottom w:val="none" w:sz="0" w:space="0" w:color="auto"/>
            <w:right w:val="none" w:sz="0" w:space="0" w:color="auto"/>
          </w:divBdr>
        </w:div>
        <w:div w:id="504588622">
          <w:marLeft w:val="0"/>
          <w:marRight w:val="0"/>
          <w:marTop w:val="0"/>
          <w:marBottom w:val="0"/>
          <w:divBdr>
            <w:top w:val="none" w:sz="0" w:space="0" w:color="auto"/>
            <w:left w:val="none" w:sz="0" w:space="0" w:color="auto"/>
            <w:bottom w:val="none" w:sz="0" w:space="0" w:color="auto"/>
            <w:right w:val="none" w:sz="0" w:space="0" w:color="auto"/>
          </w:divBdr>
        </w:div>
        <w:div w:id="81880238">
          <w:marLeft w:val="0"/>
          <w:marRight w:val="0"/>
          <w:marTop w:val="0"/>
          <w:marBottom w:val="0"/>
          <w:divBdr>
            <w:top w:val="none" w:sz="0" w:space="0" w:color="auto"/>
            <w:left w:val="none" w:sz="0" w:space="0" w:color="auto"/>
            <w:bottom w:val="none" w:sz="0" w:space="0" w:color="auto"/>
            <w:right w:val="none" w:sz="0" w:space="0" w:color="auto"/>
          </w:divBdr>
        </w:div>
      </w:divsChild>
    </w:div>
    <w:div w:id="488793482">
      <w:bodyDiv w:val="1"/>
      <w:marLeft w:val="0"/>
      <w:marRight w:val="0"/>
      <w:marTop w:val="0"/>
      <w:marBottom w:val="0"/>
      <w:divBdr>
        <w:top w:val="none" w:sz="0" w:space="0" w:color="auto"/>
        <w:left w:val="none" w:sz="0" w:space="0" w:color="auto"/>
        <w:bottom w:val="none" w:sz="0" w:space="0" w:color="auto"/>
        <w:right w:val="none" w:sz="0" w:space="0" w:color="auto"/>
      </w:divBdr>
      <w:divsChild>
        <w:div w:id="2096055036">
          <w:marLeft w:val="0"/>
          <w:marRight w:val="0"/>
          <w:marTop w:val="0"/>
          <w:marBottom w:val="0"/>
          <w:divBdr>
            <w:top w:val="none" w:sz="0" w:space="0" w:color="auto"/>
            <w:left w:val="none" w:sz="0" w:space="0" w:color="auto"/>
            <w:bottom w:val="none" w:sz="0" w:space="0" w:color="auto"/>
            <w:right w:val="none" w:sz="0" w:space="0" w:color="auto"/>
          </w:divBdr>
        </w:div>
        <w:div w:id="1457021649">
          <w:marLeft w:val="0"/>
          <w:marRight w:val="0"/>
          <w:marTop w:val="0"/>
          <w:marBottom w:val="0"/>
          <w:divBdr>
            <w:top w:val="none" w:sz="0" w:space="0" w:color="auto"/>
            <w:left w:val="none" w:sz="0" w:space="0" w:color="auto"/>
            <w:bottom w:val="none" w:sz="0" w:space="0" w:color="auto"/>
            <w:right w:val="none" w:sz="0" w:space="0" w:color="auto"/>
          </w:divBdr>
        </w:div>
        <w:div w:id="526800231">
          <w:marLeft w:val="0"/>
          <w:marRight w:val="0"/>
          <w:marTop w:val="0"/>
          <w:marBottom w:val="0"/>
          <w:divBdr>
            <w:top w:val="none" w:sz="0" w:space="0" w:color="auto"/>
            <w:left w:val="none" w:sz="0" w:space="0" w:color="auto"/>
            <w:bottom w:val="none" w:sz="0" w:space="0" w:color="auto"/>
            <w:right w:val="none" w:sz="0" w:space="0" w:color="auto"/>
          </w:divBdr>
        </w:div>
        <w:div w:id="2032804669">
          <w:marLeft w:val="0"/>
          <w:marRight w:val="0"/>
          <w:marTop w:val="0"/>
          <w:marBottom w:val="0"/>
          <w:divBdr>
            <w:top w:val="none" w:sz="0" w:space="0" w:color="auto"/>
            <w:left w:val="none" w:sz="0" w:space="0" w:color="auto"/>
            <w:bottom w:val="none" w:sz="0" w:space="0" w:color="auto"/>
            <w:right w:val="none" w:sz="0" w:space="0" w:color="auto"/>
          </w:divBdr>
        </w:div>
        <w:div w:id="1685354966">
          <w:marLeft w:val="0"/>
          <w:marRight w:val="0"/>
          <w:marTop w:val="0"/>
          <w:marBottom w:val="0"/>
          <w:divBdr>
            <w:top w:val="none" w:sz="0" w:space="0" w:color="auto"/>
            <w:left w:val="none" w:sz="0" w:space="0" w:color="auto"/>
            <w:bottom w:val="none" w:sz="0" w:space="0" w:color="auto"/>
            <w:right w:val="none" w:sz="0" w:space="0" w:color="auto"/>
          </w:divBdr>
        </w:div>
        <w:div w:id="669216819">
          <w:marLeft w:val="0"/>
          <w:marRight w:val="0"/>
          <w:marTop w:val="0"/>
          <w:marBottom w:val="0"/>
          <w:divBdr>
            <w:top w:val="none" w:sz="0" w:space="0" w:color="auto"/>
            <w:left w:val="none" w:sz="0" w:space="0" w:color="auto"/>
            <w:bottom w:val="none" w:sz="0" w:space="0" w:color="auto"/>
            <w:right w:val="none" w:sz="0" w:space="0" w:color="auto"/>
          </w:divBdr>
        </w:div>
        <w:div w:id="1945989592">
          <w:marLeft w:val="0"/>
          <w:marRight w:val="0"/>
          <w:marTop w:val="0"/>
          <w:marBottom w:val="0"/>
          <w:divBdr>
            <w:top w:val="none" w:sz="0" w:space="0" w:color="auto"/>
            <w:left w:val="none" w:sz="0" w:space="0" w:color="auto"/>
            <w:bottom w:val="none" w:sz="0" w:space="0" w:color="auto"/>
            <w:right w:val="none" w:sz="0" w:space="0" w:color="auto"/>
          </w:divBdr>
        </w:div>
        <w:div w:id="196088832">
          <w:marLeft w:val="0"/>
          <w:marRight w:val="0"/>
          <w:marTop w:val="0"/>
          <w:marBottom w:val="0"/>
          <w:divBdr>
            <w:top w:val="none" w:sz="0" w:space="0" w:color="auto"/>
            <w:left w:val="none" w:sz="0" w:space="0" w:color="auto"/>
            <w:bottom w:val="none" w:sz="0" w:space="0" w:color="auto"/>
            <w:right w:val="none" w:sz="0" w:space="0" w:color="auto"/>
          </w:divBdr>
        </w:div>
        <w:div w:id="1241406649">
          <w:marLeft w:val="0"/>
          <w:marRight w:val="0"/>
          <w:marTop w:val="0"/>
          <w:marBottom w:val="0"/>
          <w:divBdr>
            <w:top w:val="none" w:sz="0" w:space="0" w:color="auto"/>
            <w:left w:val="none" w:sz="0" w:space="0" w:color="auto"/>
            <w:bottom w:val="none" w:sz="0" w:space="0" w:color="auto"/>
            <w:right w:val="none" w:sz="0" w:space="0" w:color="auto"/>
          </w:divBdr>
        </w:div>
        <w:div w:id="1130241456">
          <w:marLeft w:val="0"/>
          <w:marRight w:val="0"/>
          <w:marTop w:val="0"/>
          <w:marBottom w:val="0"/>
          <w:divBdr>
            <w:top w:val="none" w:sz="0" w:space="0" w:color="auto"/>
            <w:left w:val="none" w:sz="0" w:space="0" w:color="auto"/>
            <w:bottom w:val="none" w:sz="0" w:space="0" w:color="auto"/>
            <w:right w:val="none" w:sz="0" w:space="0" w:color="auto"/>
          </w:divBdr>
        </w:div>
        <w:div w:id="149828816">
          <w:marLeft w:val="0"/>
          <w:marRight w:val="0"/>
          <w:marTop w:val="0"/>
          <w:marBottom w:val="0"/>
          <w:divBdr>
            <w:top w:val="none" w:sz="0" w:space="0" w:color="auto"/>
            <w:left w:val="none" w:sz="0" w:space="0" w:color="auto"/>
            <w:bottom w:val="none" w:sz="0" w:space="0" w:color="auto"/>
            <w:right w:val="none" w:sz="0" w:space="0" w:color="auto"/>
          </w:divBdr>
        </w:div>
        <w:div w:id="731197954">
          <w:marLeft w:val="0"/>
          <w:marRight w:val="0"/>
          <w:marTop w:val="0"/>
          <w:marBottom w:val="0"/>
          <w:divBdr>
            <w:top w:val="none" w:sz="0" w:space="0" w:color="auto"/>
            <w:left w:val="none" w:sz="0" w:space="0" w:color="auto"/>
            <w:bottom w:val="none" w:sz="0" w:space="0" w:color="auto"/>
            <w:right w:val="none" w:sz="0" w:space="0" w:color="auto"/>
          </w:divBdr>
        </w:div>
        <w:div w:id="188229576">
          <w:marLeft w:val="0"/>
          <w:marRight w:val="0"/>
          <w:marTop w:val="0"/>
          <w:marBottom w:val="0"/>
          <w:divBdr>
            <w:top w:val="none" w:sz="0" w:space="0" w:color="auto"/>
            <w:left w:val="none" w:sz="0" w:space="0" w:color="auto"/>
            <w:bottom w:val="none" w:sz="0" w:space="0" w:color="auto"/>
            <w:right w:val="none" w:sz="0" w:space="0" w:color="auto"/>
          </w:divBdr>
        </w:div>
        <w:div w:id="615717268">
          <w:marLeft w:val="0"/>
          <w:marRight w:val="0"/>
          <w:marTop w:val="0"/>
          <w:marBottom w:val="0"/>
          <w:divBdr>
            <w:top w:val="none" w:sz="0" w:space="0" w:color="auto"/>
            <w:left w:val="none" w:sz="0" w:space="0" w:color="auto"/>
            <w:bottom w:val="none" w:sz="0" w:space="0" w:color="auto"/>
            <w:right w:val="none" w:sz="0" w:space="0" w:color="auto"/>
          </w:divBdr>
        </w:div>
        <w:div w:id="1321274189">
          <w:marLeft w:val="0"/>
          <w:marRight w:val="0"/>
          <w:marTop w:val="0"/>
          <w:marBottom w:val="0"/>
          <w:divBdr>
            <w:top w:val="none" w:sz="0" w:space="0" w:color="auto"/>
            <w:left w:val="none" w:sz="0" w:space="0" w:color="auto"/>
            <w:bottom w:val="none" w:sz="0" w:space="0" w:color="auto"/>
            <w:right w:val="none" w:sz="0" w:space="0" w:color="auto"/>
          </w:divBdr>
        </w:div>
        <w:div w:id="25257779">
          <w:marLeft w:val="0"/>
          <w:marRight w:val="0"/>
          <w:marTop w:val="0"/>
          <w:marBottom w:val="0"/>
          <w:divBdr>
            <w:top w:val="none" w:sz="0" w:space="0" w:color="auto"/>
            <w:left w:val="none" w:sz="0" w:space="0" w:color="auto"/>
            <w:bottom w:val="none" w:sz="0" w:space="0" w:color="auto"/>
            <w:right w:val="none" w:sz="0" w:space="0" w:color="auto"/>
          </w:divBdr>
        </w:div>
        <w:div w:id="666633787">
          <w:marLeft w:val="0"/>
          <w:marRight w:val="0"/>
          <w:marTop w:val="0"/>
          <w:marBottom w:val="0"/>
          <w:divBdr>
            <w:top w:val="none" w:sz="0" w:space="0" w:color="auto"/>
            <w:left w:val="none" w:sz="0" w:space="0" w:color="auto"/>
            <w:bottom w:val="none" w:sz="0" w:space="0" w:color="auto"/>
            <w:right w:val="none" w:sz="0" w:space="0" w:color="auto"/>
          </w:divBdr>
        </w:div>
      </w:divsChild>
    </w:div>
    <w:div w:id="684482502">
      <w:bodyDiv w:val="1"/>
      <w:marLeft w:val="0"/>
      <w:marRight w:val="0"/>
      <w:marTop w:val="0"/>
      <w:marBottom w:val="0"/>
      <w:divBdr>
        <w:top w:val="none" w:sz="0" w:space="0" w:color="auto"/>
        <w:left w:val="none" w:sz="0" w:space="0" w:color="auto"/>
        <w:bottom w:val="none" w:sz="0" w:space="0" w:color="auto"/>
        <w:right w:val="none" w:sz="0" w:space="0" w:color="auto"/>
      </w:divBdr>
      <w:divsChild>
        <w:div w:id="1824928025">
          <w:marLeft w:val="0"/>
          <w:marRight w:val="0"/>
          <w:marTop w:val="0"/>
          <w:marBottom w:val="0"/>
          <w:divBdr>
            <w:top w:val="none" w:sz="0" w:space="0" w:color="auto"/>
            <w:left w:val="none" w:sz="0" w:space="0" w:color="auto"/>
            <w:bottom w:val="none" w:sz="0" w:space="0" w:color="auto"/>
            <w:right w:val="none" w:sz="0" w:space="0" w:color="auto"/>
          </w:divBdr>
        </w:div>
        <w:div w:id="526604145">
          <w:marLeft w:val="0"/>
          <w:marRight w:val="0"/>
          <w:marTop w:val="0"/>
          <w:marBottom w:val="0"/>
          <w:divBdr>
            <w:top w:val="none" w:sz="0" w:space="0" w:color="auto"/>
            <w:left w:val="none" w:sz="0" w:space="0" w:color="auto"/>
            <w:bottom w:val="none" w:sz="0" w:space="0" w:color="auto"/>
            <w:right w:val="none" w:sz="0" w:space="0" w:color="auto"/>
          </w:divBdr>
        </w:div>
        <w:div w:id="891236337">
          <w:marLeft w:val="0"/>
          <w:marRight w:val="0"/>
          <w:marTop w:val="0"/>
          <w:marBottom w:val="0"/>
          <w:divBdr>
            <w:top w:val="none" w:sz="0" w:space="0" w:color="auto"/>
            <w:left w:val="none" w:sz="0" w:space="0" w:color="auto"/>
            <w:bottom w:val="none" w:sz="0" w:space="0" w:color="auto"/>
            <w:right w:val="none" w:sz="0" w:space="0" w:color="auto"/>
          </w:divBdr>
        </w:div>
        <w:div w:id="1080563853">
          <w:marLeft w:val="0"/>
          <w:marRight w:val="0"/>
          <w:marTop w:val="0"/>
          <w:marBottom w:val="0"/>
          <w:divBdr>
            <w:top w:val="none" w:sz="0" w:space="0" w:color="auto"/>
            <w:left w:val="none" w:sz="0" w:space="0" w:color="auto"/>
            <w:bottom w:val="none" w:sz="0" w:space="0" w:color="auto"/>
            <w:right w:val="none" w:sz="0" w:space="0" w:color="auto"/>
          </w:divBdr>
        </w:div>
        <w:div w:id="1808157291">
          <w:marLeft w:val="0"/>
          <w:marRight w:val="0"/>
          <w:marTop w:val="0"/>
          <w:marBottom w:val="0"/>
          <w:divBdr>
            <w:top w:val="none" w:sz="0" w:space="0" w:color="auto"/>
            <w:left w:val="none" w:sz="0" w:space="0" w:color="auto"/>
            <w:bottom w:val="none" w:sz="0" w:space="0" w:color="auto"/>
            <w:right w:val="none" w:sz="0" w:space="0" w:color="auto"/>
          </w:divBdr>
        </w:div>
        <w:div w:id="2079014645">
          <w:marLeft w:val="0"/>
          <w:marRight w:val="0"/>
          <w:marTop w:val="0"/>
          <w:marBottom w:val="0"/>
          <w:divBdr>
            <w:top w:val="none" w:sz="0" w:space="0" w:color="auto"/>
            <w:left w:val="none" w:sz="0" w:space="0" w:color="auto"/>
            <w:bottom w:val="none" w:sz="0" w:space="0" w:color="auto"/>
            <w:right w:val="none" w:sz="0" w:space="0" w:color="auto"/>
          </w:divBdr>
        </w:div>
        <w:div w:id="1231692026">
          <w:marLeft w:val="0"/>
          <w:marRight w:val="0"/>
          <w:marTop w:val="0"/>
          <w:marBottom w:val="0"/>
          <w:divBdr>
            <w:top w:val="none" w:sz="0" w:space="0" w:color="auto"/>
            <w:left w:val="none" w:sz="0" w:space="0" w:color="auto"/>
            <w:bottom w:val="none" w:sz="0" w:space="0" w:color="auto"/>
            <w:right w:val="none" w:sz="0" w:space="0" w:color="auto"/>
          </w:divBdr>
        </w:div>
        <w:div w:id="369965164">
          <w:marLeft w:val="0"/>
          <w:marRight w:val="0"/>
          <w:marTop w:val="0"/>
          <w:marBottom w:val="0"/>
          <w:divBdr>
            <w:top w:val="none" w:sz="0" w:space="0" w:color="auto"/>
            <w:left w:val="none" w:sz="0" w:space="0" w:color="auto"/>
            <w:bottom w:val="none" w:sz="0" w:space="0" w:color="auto"/>
            <w:right w:val="none" w:sz="0" w:space="0" w:color="auto"/>
          </w:divBdr>
        </w:div>
        <w:div w:id="506141394">
          <w:marLeft w:val="0"/>
          <w:marRight w:val="0"/>
          <w:marTop w:val="0"/>
          <w:marBottom w:val="0"/>
          <w:divBdr>
            <w:top w:val="none" w:sz="0" w:space="0" w:color="auto"/>
            <w:left w:val="none" w:sz="0" w:space="0" w:color="auto"/>
            <w:bottom w:val="none" w:sz="0" w:space="0" w:color="auto"/>
            <w:right w:val="none" w:sz="0" w:space="0" w:color="auto"/>
          </w:divBdr>
        </w:div>
        <w:div w:id="1918830348">
          <w:marLeft w:val="0"/>
          <w:marRight w:val="0"/>
          <w:marTop w:val="0"/>
          <w:marBottom w:val="0"/>
          <w:divBdr>
            <w:top w:val="none" w:sz="0" w:space="0" w:color="auto"/>
            <w:left w:val="none" w:sz="0" w:space="0" w:color="auto"/>
            <w:bottom w:val="none" w:sz="0" w:space="0" w:color="auto"/>
            <w:right w:val="none" w:sz="0" w:space="0" w:color="auto"/>
          </w:divBdr>
        </w:div>
        <w:div w:id="1385326902">
          <w:marLeft w:val="0"/>
          <w:marRight w:val="0"/>
          <w:marTop w:val="0"/>
          <w:marBottom w:val="0"/>
          <w:divBdr>
            <w:top w:val="none" w:sz="0" w:space="0" w:color="auto"/>
            <w:left w:val="none" w:sz="0" w:space="0" w:color="auto"/>
            <w:bottom w:val="none" w:sz="0" w:space="0" w:color="auto"/>
            <w:right w:val="none" w:sz="0" w:space="0" w:color="auto"/>
          </w:divBdr>
        </w:div>
        <w:div w:id="1870071335">
          <w:marLeft w:val="0"/>
          <w:marRight w:val="0"/>
          <w:marTop w:val="0"/>
          <w:marBottom w:val="0"/>
          <w:divBdr>
            <w:top w:val="none" w:sz="0" w:space="0" w:color="auto"/>
            <w:left w:val="none" w:sz="0" w:space="0" w:color="auto"/>
            <w:bottom w:val="none" w:sz="0" w:space="0" w:color="auto"/>
            <w:right w:val="none" w:sz="0" w:space="0" w:color="auto"/>
          </w:divBdr>
        </w:div>
        <w:div w:id="294021968">
          <w:marLeft w:val="0"/>
          <w:marRight w:val="0"/>
          <w:marTop w:val="0"/>
          <w:marBottom w:val="0"/>
          <w:divBdr>
            <w:top w:val="none" w:sz="0" w:space="0" w:color="auto"/>
            <w:left w:val="none" w:sz="0" w:space="0" w:color="auto"/>
            <w:bottom w:val="none" w:sz="0" w:space="0" w:color="auto"/>
            <w:right w:val="none" w:sz="0" w:space="0" w:color="auto"/>
          </w:divBdr>
        </w:div>
        <w:div w:id="176506662">
          <w:marLeft w:val="0"/>
          <w:marRight w:val="0"/>
          <w:marTop w:val="0"/>
          <w:marBottom w:val="0"/>
          <w:divBdr>
            <w:top w:val="none" w:sz="0" w:space="0" w:color="auto"/>
            <w:left w:val="none" w:sz="0" w:space="0" w:color="auto"/>
            <w:bottom w:val="none" w:sz="0" w:space="0" w:color="auto"/>
            <w:right w:val="none" w:sz="0" w:space="0" w:color="auto"/>
          </w:divBdr>
        </w:div>
        <w:div w:id="315645067">
          <w:marLeft w:val="0"/>
          <w:marRight w:val="0"/>
          <w:marTop w:val="0"/>
          <w:marBottom w:val="0"/>
          <w:divBdr>
            <w:top w:val="none" w:sz="0" w:space="0" w:color="auto"/>
            <w:left w:val="none" w:sz="0" w:space="0" w:color="auto"/>
            <w:bottom w:val="none" w:sz="0" w:space="0" w:color="auto"/>
            <w:right w:val="none" w:sz="0" w:space="0" w:color="auto"/>
          </w:divBdr>
        </w:div>
        <w:div w:id="1993411595">
          <w:marLeft w:val="0"/>
          <w:marRight w:val="0"/>
          <w:marTop w:val="0"/>
          <w:marBottom w:val="0"/>
          <w:divBdr>
            <w:top w:val="none" w:sz="0" w:space="0" w:color="auto"/>
            <w:left w:val="none" w:sz="0" w:space="0" w:color="auto"/>
            <w:bottom w:val="none" w:sz="0" w:space="0" w:color="auto"/>
            <w:right w:val="none" w:sz="0" w:space="0" w:color="auto"/>
          </w:divBdr>
        </w:div>
        <w:div w:id="253826686">
          <w:marLeft w:val="0"/>
          <w:marRight w:val="0"/>
          <w:marTop w:val="0"/>
          <w:marBottom w:val="0"/>
          <w:divBdr>
            <w:top w:val="none" w:sz="0" w:space="0" w:color="auto"/>
            <w:left w:val="none" w:sz="0" w:space="0" w:color="auto"/>
            <w:bottom w:val="none" w:sz="0" w:space="0" w:color="auto"/>
            <w:right w:val="none" w:sz="0" w:space="0" w:color="auto"/>
          </w:divBdr>
        </w:div>
        <w:div w:id="2108192674">
          <w:marLeft w:val="0"/>
          <w:marRight w:val="0"/>
          <w:marTop w:val="0"/>
          <w:marBottom w:val="0"/>
          <w:divBdr>
            <w:top w:val="none" w:sz="0" w:space="0" w:color="auto"/>
            <w:left w:val="none" w:sz="0" w:space="0" w:color="auto"/>
            <w:bottom w:val="none" w:sz="0" w:space="0" w:color="auto"/>
            <w:right w:val="none" w:sz="0" w:space="0" w:color="auto"/>
          </w:divBdr>
        </w:div>
        <w:div w:id="865942746">
          <w:marLeft w:val="0"/>
          <w:marRight w:val="0"/>
          <w:marTop w:val="0"/>
          <w:marBottom w:val="0"/>
          <w:divBdr>
            <w:top w:val="none" w:sz="0" w:space="0" w:color="auto"/>
            <w:left w:val="none" w:sz="0" w:space="0" w:color="auto"/>
            <w:bottom w:val="none" w:sz="0" w:space="0" w:color="auto"/>
            <w:right w:val="none" w:sz="0" w:space="0" w:color="auto"/>
          </w:divBdr>
        </w:div>
        <w:div w:id="169107591">
          <w:marLeft w:val="0"/>
          <w:marRight w:val="0"/>
          <w:marTop w:val="0"/>
          <w:marBottom w:val="0"/>
          <w:divBdr>
            <w:top w:val="none" w:sz="0" w:space="0" w:color="auto"/>
            <w:left w:val="none" w:sz="0" w:space="0" w:color="auto"/>
            <w:bottom w:val="none" w:sz="0" w:space="0" w:color="auto"/>
            <w:right w:val="none" w:sz="0" w:space="0" w:color="auto"/>
          </w:divBdr>
        </w:div>
        <w:div w:id="1013647106">
          <w:marLeft w:val="0"/>
          <w:marRight w:val="0"/>
          <w:marTop w:val="0"/>
          <w:marBottom w:val="0"/>
          <w:divBdr>
            <w:top w:val="none" w:sz="0" w:space="0" w:color="auto"/>
            <w:left w:val="none" w:sz="0" w:space="0" w:color="auto"/>
            <w:bottom w:val="none" w:sz="0" w:space="0" w:color="auto"/>
            <w:right w:val="none" w:sz="0" w:space="0" w:color="auto"/>
          </w:divBdr>
        </w:div>
        <w:div w:id="1322470656">
          <w:marLeft w:val="0"/>
          <w:marRight w:val="0"/>
          <w:marTop w:val="0"/>
          <w:marBottom w:val="0"/>
          <w:divBdr>
            <w:top w:val="none" w:sz="0" w:space="0" w:color="auto"/>
            <w:left w:val="none" w:sz="0" w:space="0" w:color="auto"/>
            <w:bottom w:val="none" w:sz="0" w:space="0" w:color="auto"/>
            <w:right w:val="none" w:sz="0" w:space="0" w:color="auto"/>
          </w:divBdr>
        </w:div>
      </w:divsChild>
    </w:div>
    <w:div w:id="796096570">
      <w:bodyDiv w:val="1"/>
      <w:marLeft w:val="0"/>
      <w:marRight w:val="0"/>
      <w:marTop w:val="0"/>
      <w:marBottom w:val="0"/>
      <w:divBdr>
        <w:top w:val="none" w:sz="0" w:space="0" w:color="auto"/>
        <w:left w:val="none" w:sz="0" w:space="0" w:color="auto"/>
        <w:bottom w:val="none" w:sz="0" w:space="0" w:color="auto"/>
        <w:right w:val="none" w:sz="0" w:space="0" w:color="auto"/>
      </w:divBdr>
      <w:divsChild>
        <w:div w:id="771752993">
          <w:marLeft w:val="0"/>
          <w:marRight w:val="0"/>
          <w:marTop w:val="0"/>
          <w:marBottom w:val="0"/>
          <w:divBdr>
            <w:top w:val="none" w:sz="0" w:space="0" w:color="auto"/>
            <w:left w:val="none" w:sz="0" w:space="0" w:color="auto"/>
            <w:bottom w:val="none" w:sz="0" w:space="0" w:color="auto"/>
            <w:right w:val="none" w:sz="0" w:space="0" w:color="auto"/>
          </w:divBdr>
        </w:div>
        <w:div w:id="2064521355">
          <w:marLeft w:val="0"/>
          <w:marRight w:val="0"/>
          <w:marTop w:val="0"/>
          <w:marBottom w:val="0"/>
          <w:divBdr>
            <w:top w:val="none" w:sz="0" w:space="0" w:color="auto"/>
            <w:left w:val="none" w:sz="0" w:space="0" w:color="auto"/>
            <w:bottom w:val="none" w:sz="0" w:space="0" w:color="auto"/>
            <w:right w:val="none" w:sz="0" w:space="0" w:color="auto"/>
          </w:divBdr>
        </w:div>
        <w:div w:id="782458698">
          <w:marLeft w:val="0"/>
          <w:marRight w:val="0"/>
          <w:marTop w:val="0"/>
          <w:marBottom w:val="0"/>
          <w:divBdr>
            <w:top w:val="none" w:sz="0" w:space="0" w:color="auto"/>
            <w:left w:val="none" w:sz="0" w:space="0" w:color="auto"/>
            <w:bottom w:val="none" w:sz="0" w:space="0" w:color="auto"/>
            <w:right w:val="none" w:sz="0" w:space="0" w:color="auto"/>
          </w:divBdr>
        </w:div>
        <w:div w:id="853038115">
          <w:marLeft w:val="0"/>
          <w:marRight w:val="0"/>
          <w:marTop w:val="0"/>
          <w:marBottom w:val="0"/>
          <w:divBdr>
            <w:top w:val="none" w:sz="0" w:space="0" w:color="auto"/>
            <w:left w:val="none" w:sz="0" w:space="0" w:color="auto"/>
            <w:bottom w:val="none" w:sz="0" w:space="0" w:color="auto"/>
            <w:right w:val="none" w:sz="0" w:space="0" w:color="auto"/>
          </w:divBdr>
        </w:div>
        <w:div w:id="1626504347">
          <w:marLeft w:val="0"/>
          <w:marRight w:val="0"/>
          <w:marTop w:val="0"/>
          <w:marBottom w:val="0"/>
          <w:divBdr>
            <w:top w:val="none" w:sz="0" w:space="0" w:color="auto"/>
            <w:left w:val="none" w:sz="0" w:space="0" w:color="auto"/>
            <w:bottom w:val="none" w:sz="0" w:space="0" w:color="auto"/>
            <w:right w:val="none" w:sz="0" w:space="0" w:color="auto"/>
          </w:divBdr>
        </w:div>
        <w:div w:id="51853346">
          <w:marLeft w:val="0"/>
          <w:marRight w:val="0"/>
          <w:marTop w:val="0"/>
          <w:marBottom w:val="0"/>
          <w:divBdr>
            <w:top w:val="none" w:sz="0" w:space="0" w:color="auto"/>
            <w:left w:val="none" w:sz="0" w:space="0" w:color="auto"/>
            <w:bottom w:val="none" w:sz="0" w:space="0" w:color="auto"/>
            <w:right w:val="none" w:sz="0" w:space="0" w:color="auto"/>
          </w:divBdr>
        </w:div>
        <w:div w:id="2020887652">
          <w:marLeft w:val="0"/>
          <w:marRight w:val="0"/>
          <w:marTop w:val="0"/>
          <w:marBottom w:val="0"/>
          <w:divBdr>
            <w:top w:val="none" w:sz="0" w:space="0" w:color="auto"/>
            <w:left w:val="none" w:sz="0" w:space="0" w:color="auto"/>
            <w:bottom w:val="none" w:sz="0" w:space="0" w:color="auto"/>
            <w:right w:val="none" w:sz="0" w:space="0" w:color="auto"/>
          </w:divBdr>
        </w:div>
      </w:divsChild>
    </w:div>
    <w:div w:id="1024096814">
      <w:bodyDiv w:val="1"/>
      <w:marLeft w:val="0"/>
      <w:marRight w:val="0"/>
      <w:marTop w:val="0"/>
      <w:marBottom w:val="0"/>
      <w:divBdr>
        <w:top w:val="none" w:sz="0" w:space="0" w:color="auto"/>
        <w:left w:val="none" w:sz="0" w:space="0" w:color="auto"/>
        <w:bottom w:val="none" w:sz="0" w:space="0" w:color="auto"/>
        <w:right w:val="none" w:sz="0" w:space="0" w:color="auto"/>
      </w:divBdr>
      <w:divsChild>
        <w:div w:id="242952141">
          <w:marLeft w:val="0"/>
          <w:marRight w:val="0"/>
          <w:marTop w:val="0"/>
          <w:marBottom w:val="0"/>
          <w:divBdr>
            <w:top w:val="none" w:sz="0" w:space="0" w:color="auto"/>
            <w:left w:val="none" w:sz="0" w:space="0" w:color="auto"/>
            <w:bottom w:val="none" w:sz="0" w:space="0" w:color="auto"/>
            <w:right w:val="none" w:sz="0" w:space="0" w:color="auto"/>
          </w:divBdr>
        </w:div>
        <w:div w:id="1751344696">
          <w:marLeft w:val="0"/>
          <w:marRight w:val="0"/>
          <w:marTop w:val="0"/>
          <w:marBottom w:val="0"/>
          <w:divBdr>
            <w:top w:val="none" w:sz="0" w:space="0" w:color="auto"/>
            <w:left w:val="none" w:sz="0" w:space="0" w:color="auto"/>
            <w:bottom w:val="none" w:sz="0" w:space="0" w:color="auto"/>
            <w:right w:val="none" w:sz="0" w:space="0" w:color="auto"/>
          </w:divBdr>
        </w:div>
        <w:div w:id="333844663">
          <w:marLeft w:val="0"/>
          <w:marRight w:val="0"/>
          <w:marTop w:val="0"/>
          <w:marBottom w:val="0"/>
          <w:divBdr>
            <w:top w:val="none" w:sz="0" w:space="0" w:color="auto"/>
            <w:left w:val="none" w:sz="0" w:space="0" w:color="auto"/>
            <w:bottom w:val="none" w:sz="0" w:space="0" w:color="auto"/>
            <w:right w:val="none" w:sz="0" w:space="0" w:color="auto"/>
          </w:divBdr>
        </w:div>
        <w:div w:id="1414428288">
          <w:marLeft w:val="0"/>
          <w:marRight w:val="0"/>
          <w:marTop w:val="0"/>
          <w:marBottom w:val="0"/>
          <w:divBdr>
            <w:top w:val="none" w:sz="0" w:space="0" w:color="auto"/>
            <w:left w:val="none" w:sz="0" w:space="0" w:color="auto"/>
            <w:bottom w:val="none" w:sz="0" w:space="0" w:color="auto"/>
            <w:right w:val="none" w:sz="0" w:space="0" w:color="auto"/>
          </w:divBdr>
        </w:div>
        <w:div w:id="921135959">
          <w:marLeft w:val="0"/>
          <w:marRight w:val="0"/>
          <w:marTop w:val="0"/>
          <w:marBottom w:val="0"/>
          <w:divBdr>
            <w:top w:val="none" w:sz="0" w:space="0" w:color="auto"/>
            <w:left w:val="none" w:sz="0" w:space="0" w:color="auto"/>
            <w:bottom w:val="none" w:sz="0" w:space="0" w:color="auto"/>
            <w:right w:val="none" w:sz="0" w:space="0" w:color="auto"/>
          </w:divBdr>
        </w:div>
        <w:div w:id="164519026">
          <w:marLeft w:val="0"/>
          <w:marRight w:val="0"/>
          <w:marTop w:val="0"/>
          <w:marBottom w:val="0"/>
          <w:divBdr>
            <w:top w:val="none" w:sz="0" w:space="0" w:color="auto"/>
            <w:left w:val="none" w:sz="0" w:space="0" w:color="auto"/>
            <w:bottom w:val="none" w:sz="0" w:space="0" w:color="auto"/>
            <w:right w:val="none" w:sz="0" w:space="0" w:color="auto"/>
          </w:divBdr>
        </w:div>
        <w:div w:id="922835858">
          <w:marLeft w:val="0"/>
          <w:marRight w:val="0"/>
          <w:marTop w:val="0"/>
          <w:marBottom w:val="0"/>
          <w:divBdr>
            <w:top w:val="none" w:sz="0" w:space="0" w:color="auto"/>
            <w:left w:val="none" w:sz="0" w:space="0" w:color="auto"/>
            <w:bottom w:val="none" w:sz="0" w:space="0" w:color="auto"/>
            <w:right w:val="none" w:sz="0" w:space="0" w:color="auto"/>
          </w:divBdr>
        </w:div>
        <w:div w:id="458844748">
          <w:marLeft w:val="0"/>
          <w:marRight w:val="0"/>
          <w:marTop w:val="0"/>
          <w:marBottom w:val="0"/>
          <w:divBdr>
            <w:top w:val="none" w:sz="0" w:space="0" w:color="auto"/>
            <w:left w:val="none" w:sz="0" w:space="0" w:color="auto"/>
            <w:bottom w:val="none" w:sz="0" w:space="0" w:color="auto"/>
            <w:right w:val="none" w:sz="0" w:space="0" w:color="auto"/>
          </w:divBdr>
        </w:div>
        <w:div w:id="339041268">
          <w:marLeft w:val="0"/>
          <w:marRight w:val="0"/>
          <w:marTop w:val="0"/>
          <w:marBottom w:val="0"/>
          <w:divBdr>
            <w:top w:val="none" w:sz="0" w:space="0" w:color="auto"/>
            <w:left w:val="none" w:sz="0" w:space="0" w:color="auto"/>
            <w:bottom w:val="none" w:sz="0" w:space="0" w:color="auto"/>
            <w:right w:val="none" w:sz="0" w:space="0" w:color="auto"/>
          </w:divBdr>
        </w:div>
        <w:div w:id="1199052338">
          <w:marLeft w:val="0"/>
          <w:marRight w:val="0"/>
          <w:marTop w:val="0"/>
          <w:marBottom w:val="0"/>
          <w:divBdr>
            <w:top w:val="none" w:sz="0" w:space="0" w:color="auto"/>
            <w:left w:val="none" w:sz="0" w:space="0" w:color="auto"/>
            <w:bottom w:val="none" w:sz="0" w:space="0" w:color="auto"/>
            <w:right w:val="none" w:sz="0" w:space="0" w:color="auto"/>
          </w:divBdr>
        </w:div>
        <w:div w:id="2146198166">
          <w:marLeft w:val="0"/>
          <w:marRight w:val="0"/>
          <w:marTop w:val="0"/>
          <w:marBottom w:val="0"/>
          <w:divBdr>
            <w:top w:val="none" w:sz="0" w:space="0" w:color="auto"/>
            <w:left w:val="none" w:sz="0" w:space="0" w:color="auto"/>
            <w:bottom w:val="none" w:sz="0" w:space="0" w:color="auto"/>
            <w:right w:val="none" w:sz="0" w:space="0" w:color="auto"/>
          </w:divBdr>
        </w:div>
        <w:div w:id="902184540">
          <w:marLeft w:val="0"/>
          <w:marRight w:val="0"/>
          <w:marTop w:val="0"/>
          <w:marBottom w:val="0"/>
          <w:divBdr>
            <w:top w:val="none" w:sz="0" w:space="0" w:color="auto"/>
            <w:left w:val="none" w:sz="0" w:space="0" w:color="auto"/>
            <w:bottom w:val="none" w:sz="0" w:space="0" w:color="auto"/>
            <w:right w:val="none" w:sz="0" w:space="0" w:color="auto"/>
          </w:divBdr>
        </w:div>
        <w:div w:id="2078279308">
          <w:marLeft w:val="0"/>
          <w:marRight w:val="0"/>
          <w:marTop w:val="0"/>
          <w:marBottom w:val="0"/>
          <w:divBdr>
            <w:top w:val="none" w:sz="0" w:space="0" w:color="auto"/>
            <w:left w:val="none" w:sz="0" w:space="0" w:color="auto"/>
            <w:bottom w:val="none" w:sz="0" w:space="0" w:color="auto"/>
            <w:right w:val="none" w:sz="0" w:space="0" w:color="auto"/>
          </w:divBdr>
        </w:div>
        <w:div w:id="729813443">
          <w:marLeft w:val="0"/>
          <w:marRight w:val="0"/>
          <w:marTop w:val="0"/>
          <w:marBottom w:val="0"/>
          <w:divBdr>
            <w:top w:val="none" w:sz="0" w:space="0" w:color="auto"/>
            <w:left w:val="none" w:sz="0" w:space="0" w:color="auto"/>
            <w:bottom w:val="none" w:sz="0" w:space="0" w:color="auto"/>
            <w:right w:val="none" w:sz="0" w:space="0" w:color="auto"/>
          </w:divBdr>
        </w:div>
        <w:div w:id="17199281">
          <w:marLeft w:val="0"/>
          <w:marRight w:val="0"/>
          <w:marTop w:val="0"/>
          <w:marBottom w:val="0"/>
          <w:divBdr>
            <w:top w:val="none" w:sz="0" w:space="0" w:color="auto"/>
            <w:left w:val="none" w:sz="0" w:space="0" w:color="auto"/>
            <w:bottom w:val="none" w:sz="0" w:space="0" w:color="auto"/>
            <w:right w:val="none" w:sz="0" w:space="0" w:color="auto"/>
          </w:divBdr>
        </w:div>
        <w:div w:id="1589071225">
          <w:marLeft w:val="0"/>
          <w:marRight w:val="0"/>
          <w:marTop w:val="0"/>
          <w:marBottom w:val="0"/>
          <w:divBdr>
            <w:top w:val="none" w:sz="0" w:space="0" w:color="auto"/>
            <w:left w:val="none" w:sz="0" w:space="0" w:color="auto"/>
            <w:bottom w:val="none" w:sz="0" w:space="0" w:color="auto"/>
            <w:right w:val="none" w:sz="0" w:space="0" w:color="auto"/>
          </w:divBdr>
        </w:div>
        <w:div w:id="1286504233">
          <w:marLeft w:val="0"/>
          <w:marRight w:val="0"/>
          <w:marTop w:val="0"/>
          <w:marBottom w:val="0"/>
          <w:divBdr>
            <w:top w:val="none" w:sz="0" w:space="0" w:color="auto"/>
            <w:left w:val="none" w:sz="0" w:space="0" w:color="auto"/>
            <w:bottom w:val="none" w:sz="0" w:space="0" w:color="auto"/>
            <w:right w:val="none" w:sz="0" w:space="0" w:color="auto"/>
          </w:divBdr>
        </w:div>
        <w:div w:id="1937400224">
          <w:marLeft w:val="0"/>
          <w:marRight w:val="0"/>
          <w:marTop w:val="0"/>
          <w:marBottom w:val="0"/>
          <w:divBdr>
            <w:top w:val="none" w:sz="0" w:space="0" w:color="auto"/>
            <w:left w:val="none" w:sz="0" w:space="0" w:color="auto"/>
            <w:bottom w:val="none" w:sz="0" w:space="0" w:color="auto"/>
            <w:right w:val="none" w:sz="0" w:space="0" w:color="auto"/>
          </w:divBdr>
        </w:div>
        <w:div w:id="1597637079">
          <w:marLeft w:val="0"/>
          <w:marRight w:val="0"/>
          <w:marTop w:val="0"/>
          <w:marBottom w:val="0"/>
          <w:divBdr>
            <w:top w:val="none" w:sz="0" w:space="0" w:color="auto"/>
            <w:left w:val="none" w:sz="0" w:space="0" w:color="auto"/>
            <w:bottom w:val="none" w:sz="0" w:space="0" w:color="auto"/>
            <w:right w:val="none" w:sz="0" w:space="0" w:color="auto"/>
          </w:divBdr>
        </w:div>
        <w:div w:id="666716755">
          <w:marLeft w:val="0"/>
          <w:marRight w:val="0"/>
          <w:marTop w:val="0"/>
          <w:marBottom w:val="0"/>
          <w:divBdr>
            <w:top w:val="none" w:sz="0" w:space="0" w:color="auto"/>
            <w:left w:val="none" w:sz="0" w:space="0" w:color="auto"/>
            <w:bottom w:val="none" w:sz="0" w:space="0" w:color="auto"/>
            <w:right w:val="none" w:sz="0" w:space="0" w:color="auto"/>
          </w:divBdr>
        </w:div>
        <w:div w:id="1607300545">
          <w:marLeft w:val="0"/>
          <w:marRight w:val="0"/>
          <w:marTop w:val="0"/>
          <w:marBottom w:val="0"/>
          <w:divBdr>
            <w:top w:val="none" w:sz="0" w:space="0" w:color="auto"/>
            <w:left w:val="none" w:sz="0" w:space="0" w:color="auto"/>
            <w:bottom w:val="none" w:sz="0" w:space="0" w:color="auto"/>
            <w:right w:val="none" w:sz="0" w:space="0" w:color="auto"/>
          </w:divBdr>
        </w:div>
        <w:div w:id="280301672">
          <w:marLeft w:val="0"/>
          <w:marRight w:val="0"/>
          <w:marTop w:val="0"/>
          <w:marBottom w:val="0"/>
          <w:divBdr>
            <w:top w:val="none" w:sz="0" w:space="0" w:color="auto"/>
            <w:left w:val="none" w:sz="0" w:space="0" w:color="auto"/>
            <w:bottom w:val="none" w:sz="0" w:space="0" w:color="auto"/>
            <w:right w:val="none" w:sz="0" w:space="0" w:color="auto"/>
          </w:divBdr>
        </w:div>
        <w:div w:id="1829399138">
          <w:marLeft w:val="0"/>
          <w:marRight w:val="0"/>
          <w:marTop w:val="0"/>
          <w:marBottom w:val="0"/>
          <w:divBdr>
            <w:top w:val="none" w:sz="0" w:space="0" w:color="auto"/>
            <w:left w:val="none" w:sz="0" w:space="0" w:color="auto"/>
            <w:bottom w:val="none" w:sz="0" w:space="0" w:color="auto"/>
            <w:right w:val="none" w:sz="0" w:space="0" w:color="auto"/>
          </w:divBdr>
        </w:div>
        <w:div w:id="1540244754">
          <w:marLeft w:val="0"/>
          <w:marRight w:val="0"/>
          <w:marTop w:val="0"/>
          <w:marBottom w:val="0"/>
          <w:divBdr>
            <w:top w:val="none" w:sz="0" w:space="0" w:color="auto"/>
            <w:left w:val="none" w:sz="0" w:space="0" w:color="auto"/>
            <w:bottom w:val="none" w:sz="0" w:space="0" w:color="auto"/>
            <w:right w:val="none" w:sz="0" w:space="0" w:color="auto"/>
          </w:divBdr>
        </w:div>
        <w:div w:id="1599364260">
          <w:marLeft w:val="0"/>
          <w:marRight w:val="0"/>
          <w:marTop w:val="0"/>
          <w:marBottom w:val="0"/>
          <w:divBdr>
            <w:top w:val="none" w:sz="0" w:space="0" w:color="auto"/>
            <w:left w:val="none" w:sz="0" w:space="0" w:color="auto"/>
            <w:bottom w:val="none" w:sz="0" w:space="0" w:color="auto"/>
            <w:right w:val="none" w:sz="0" w:space="0" w:color="auto"/>
          </w:divBdr>
        </w:div>
        <w:div w:id="830758626">
          <w:marLeft w:val="0"/>
          <w:marRight w:val="0"/>
          <w:marTop w:val="0"/>
          <w:marBottom w:val="0"/>
          <w:divBdr>
            <w:top w:val="none" w:sz="0" w:space="0" w:color="auto"/>
            <w:left w:val="none" w:sz="0" w:space="0" w:color="auto"/>
            <w:bottom w:val="none" w:sz="0" w:space="0" w:color="auto"/>
            <w:right w:val="none" w:sz="0" w:space="0" w:color="auto"/>
          </w:divBdr>
        </w:div>
        <w:div w:id="939070615">
          <w:marLeft w:val="0"/>
          <w:marRight w:val="0"/>
          <w:marTop w:val="0"/>
          <w:marBottom w:val="0"/>
          <w:divBdr>
            <w:top w:val="none" w:sz="0" w:space="0" w:color="auto"/>
            <w:left w:val="none" w:sz="0" w:space="0" w:color="auto"/>
            <w:bottom w:val="none" w:sz="0" w:space="0" w:color="auto"/>
            <w:right w:val="none" w:sz="0" w:space="0" w:color="auto"/>
          </w:divBdr>
        </w:div>
        <w:div w:id="40516044">
          <w:marLeft w:val="0"/>
          <w:marRight w:val="0"/>
          <w:marTop w:val="0"/>
          <w:marBottom w:val="0"/>
          <w:divBdr>
            <w:top w:val="none" w:sz="0" w:space="0" w:color="auto"/>
            <w:left w:val="none" w:sz="0" w:space="0" w:color="auto"/>
            <w:bottom w:val="none" w:sz="0" w:space="0" w:color="auto"/>
            <w:right w:val="none" w:sz="0" w:space="0" w:color="auto"/>
          </w:divBdr>
        </w:div>
        <w:div w:id="1436514392">
          <w:marLeft w:val="0"/>
          <w:marRight w:val="0"/>
          <w:marTop w:val="0"/>
          <w:marBottom w:val="0"/>
          <w:divBdr>
            <w:top w:val="none" w:sz="0" w:space="0" w:color="auto"/>
            <w:left w:val="none" w:sz="0" w:space="0" w:color="auto"/>
            <w:bottom w:val="none" w:sz="0" w:space="0" w:color="auto"/>
            <w:right w:val="none" w:sz="0" w:space="0" w:color="auto"/>
          </w:divBdr>
        </w:div>
        <w:div w:id="1869831838">
          <w:marLeft w:val="0"/>
          <w:marRight w:val="0"/>
          <w:marTop w:val="0"/>
          <w:marBottom w:val="0"/>
          <w:divBdr>
            <w:top w:val="none" w:sz="0" w:space="0" w:color="auto"/>
            <w:left w:val="none" w:sz="0" w:space="0" w:color="auto"/>
            <w:bottom w:val="none" w:sz="0" w:space="0" w:color="auto"/>
            <w:right w:val="none" w:sz="0" w:space="0" w:color="auto"/>
          </w:divBdr>
        </w:div>
        <w:div w:id="1850217859">
          <w:marLeft w:val="0"/>
          <w:marRight w:val="0"/>
          <w:marTop w:val="0"/>
          <w:marBottom w:val="0"/>
          <w:divBdr>
            <w:top w:val="none" w:sz="0" w:space="0" w:color="auto"/>
            <w:left w:val="none" w:sz="0" w:space="0" w:color="auto"/>
            <w:bottom w:val="none" w:sz="0" w:space="0" w:color="auto"/>
            <w:right w:val="none" w:sz="0" w:space="0" w:color="auto"/>
          </w:divBdr>
        </w:div>
        <w:div w:id="1382749622">
          <w:marLeft w:val="0"/>
          <w:marRight w:val="0"/>
          <w:marTop w:val="0"/>
          <w:marBottom w:val="0"/>
          <w:divBdr>
            <w:top w:val="none" w:sz="0" w:space="0" w:color="auto"/>
            <w:left w:val="none" w:sz="0" w:space="0" w:color="auto"/>
            <w:bottom w:val="none" w:sz="0" w:space="0" w:color="auto"/>
            <w:right w:val="none" w:sz="0" w:space="0" w:color="auto"/>
          </w:divBdr>
        </w:div>
        <w:div w:id="1931111186">
          <w:marLeft w:val="0"/>
          <w:marRight w:val="0"/>
          <w:marTop w:val="0"/>
          <w:marBottom w:val="0"/>
          <w:divBdr>
            <w:top w:val="none" w:sz="0" w:space="0" w:color="auto"/>
            <w:left w:val="none" w:sz="0" w:space="0" w:color="auto"/>
            <w:bottom w:val="none" w:sz="0" w:space="0" w:color="auto"/>
            <w:right w:val="none" w:sz="0" w:space="0" w:color="auto"/>
          </w:divBdr>
        </w:div>
        <w:div w:id="700664612">
          <w:marLeft w:val="0"/>
          <w:marRight w:val="0"/>
          <w:marTop w:val="0"/>
          <w:marBottom w:val="0"/>
          <w:divBdr>
            <w:top w:val="none" w:sz="0" w:space="0" w:color="auto"/>
            <w:left w:val="none" w:sz="0" w:space="0" w:color="auto"/>
            <w:bottom w:val="none" w:sz="0" w:space="0" w:color="auto"/>
            <w:right w:val="none" w:sz="0" w:space="0" w:color="auto"/>
          </w:divBdr>
        </w:div>
        <w:div w:id="1002930018">
          <w:marLeft w:val="0"/>
          <w:marRight w:val="0"/>
          <w:marTop w:val="0"/>
          <w:marBottom w:val="0"/>
          <w:divBdr>
            <w:top w:val="none" w:sz="0" w:space="0" w:color="auto"/>
            <w:left w:val="none" w:sz="0" w:space="0" w:color="auto"/>
            <w:bottom w:val="none" w:sz="0" w:space="0" w:color="auto"/>
            <w:right w:val="none" w:sz="0" w:space="0" w:color="auto"/>
          </w:divBdr>
        </w:div>
        <w:div w:id="56050606">
          <w:marLeft w:val="0"/>
          <w:marRight w:val="0"/>
          <w:marTop w:val="0"/>
          <w:marBottom w:val="0"/>
          <w:divBdr>
            <w:top w:val="none" w:sz="0" w:space="0" w:color="auto"/>
            <w:left w:val="none" w:sz="0" w:space="0" w:color="auto"/>
            <w:bottom w:val="none" w:sz="0" w:space="0" w:color="auto"/>
            <w:right w:val="none" w:sz="0" w:space="0" w:color="auto"/>
          </w:divBdr>
        </w:div>
        <w:div w:id="24521306">
          <w:marLeft w:val="0"/>
          <w:marRight w:val="0"/>
          <w:marTop w:val="0"/>
          <w:marBottom w:val="0"/>
          <w:divBdr>
            <w:top w:val="none" w:sz="0" w:space="0" w:color="auto"/>
            <w:left w:val="none" w:sz="0" w:space="0" w:color="auto"/>
            <w:bottom w:val="none" w:sz="0" w:space="0" w:color="auto"/>
            <w:right w:val="none" w:sz="0" w:space="0" w:color="auto"/>
          </w:divBdr>
        </w:div>
        <w:div w:id="1490747775">
          <w:marLeft w:val="0"/>
          <w:marRight w:val="0"/>
          <w:marTop w:val="0"/>
          <w:marBottom w:val="0"/>
          <w:divBdr>
            <w:top w:val="none" w:sz="0" w:space="0" w:color="auto"/>
            <w:left w:val="none" w:sz="0" w:space="0" w:color="auto"/>
            <w:bottom w:val="none" w:sz="0" w:space="0" w:color="auto"/>
            <w:right w:val="none" w:sz="0" w:space="0" w:color="auto"/>
          </w:divBdr>
        </w:div>
        <w:div w:id="1996182470">
          <w:marLeft w:val="0"/>
          <w:marRight w:val="0"/>
          <w:marTop w:val="0"/>
          <w:marBottom w:val="0"/>
          <w:divBdr>
            <w:top w:val="none" w:sz="0" w:space="0" w:color="auto"/>
            <w:left w:val="none" w:sz="0" w:space="0" w:color="auto"/>
            <w:bottom w:val="none" w:sz="0" w:space="0" w:color="auto"/>
            <w:right w:val="none" w:sz="0" w:space="0" w:color="auto"/>
          </w:divBdr>
        </w:div>
        <w:div w:id="1935282690">
          <w:marLeft w:val="0"/>
          <w:marRight w:val="0"/>
          <w:marTop w:val="0"/>
          <w:marBottom w:val="0"/>
          <w:divBdr>
            <w:top w:val="none" w:sz="0" w:space="0" w:color="auto"/>
            <w:left w:val="none" w:sz="0" w:space="0" w:color="auto"/>
            <w:bottom w:val="none" w:sz="0" w:space="0" w:color="auto"/>
            <w:right w:val="none" w:sz="0" w:space="0" w:color="auto"/>
          </w:divBdr>
        </w:div>
        <w:div w:id="1627618131">
          <w:marLeft w:val="0"/>
          <w:marRight w:val="0"/>
          <w:marTop w:val="0"/>
          <w:marBottom w:val="0"/>
          <w:divBdr>
            <w:top w:val="none" w:sz="0" w:space="0" w:color="auto"/>
            <w:left w:val="none" w:sz="0" w:space="0" w:color="auto"/>
            <w:bottom w:val="none" w:sz="0" w:space="0" w:color="auto"/>
            <w:right w:val="none" w:sz="0" w:space="0" w:color="auto"/>
          </w:divBdr>
        </w:div>
        <w:div w:id="1244727619">
          <w:marLeft w:val="0"/>
          <w:marRight w:val="0"/>
          <w:marTop w:val="0"/>
          <w:marBottom w:val="0"/>
          <w:divBdr>
            <w:top w:val="none" w:sz="0" w:space="0" w:color="auto"/>
            <w:left w:val="none" w:sz="0" w:space="0" w:color="auto"/>
            <w:bottom w:val="none" w:sz="0" w:space="0" w:color="auto"/>
            <w:right w:val="none" w:sz="0" w:space="0" w:color="auto"/>
          </w:divBdr>
        </w:div>
        <w:div w:id="1467236331">
          <w:marLeft w:val="0"/>
          <w:marRight w:val="0"/>
          <w:marTop w:val="0"/>
          <w:marBottom w:val="0"/>
          <w:divBdr>
            <w:top w:val="none" w:sz="0" w:space="0" w:color="auto"/>
            <w:left w:val="none" w:sz="0" w:space="0" w:color="auto"/>
            <w:bottom w:val="none" w:sz="0" w:space="0" w:color="auto"/>
            <w:right w:val="none" w:sz="0" w:space="0" w:color="auto"/>
          </w:divBdr>
        </w:div>
        <w:div w:id="1105922417">
          <w:marLeft w:val="0"/>
          <w:marRight w:val="0"/>
          <w:marTop w:val="0"/>
          <w:marBottom w:val="0"/>
          <w:divBdr>
            <w:top w:val="none" w:sz="0" w:space="0" w:color="auto"/>
            <w:left w:val="none" w:sz="0" w:space="0" w:color="auto"/>
            <w:bottom w:val="none" w:sz="0" w:space="0" w:color="auto"/>
            <w:right w:val="none" w:sz="0" w:space="0" w:color="auto"/>
          </w:divBdr>
        </w:div>
        <w:div w:id="1074936581">
          <w:marLeft w:val="0"/>
          <w:marRight w:val="0"/>
          <w:marTop w:val="0"/>
          <w:marBottom w:val="0"/>
          <w:divBdr>
            <w:top w:val="none" w:sz="0" w:space="0" w:color="auto"/>
            <w:left w:val="none" w:sz="0" w:space="0" w:color="auto"/>
            <w:bottom w:val="none" w:sz="0" w:space="0" w:color="auto"/>
            <w:right w:val="none" w:sz="0" w:space="0" w:color="auto"/>
          </w:divBdr>
        </w:div>
        <w:div w:id="965114055">
          <w:marLeft w:val="0"/>
          <w:marRight w:val="0"/>
          <w:marTop w:val="0"/>
          <w:marBottom w:val="0"/>
          <w:divBdr>
            <w:top w:val="none" w:sz="0" w:space="0" w:color="auto"/>
            <w:left w:val="none" w:sz="0" w:space="0" w:color="auto"/>
            <w:bottom w:val="none" w:sz="0" w:space="0" w:color="auto"/>
            <w:right w:val="none" w:sz="0" w:space="0" w:color="auto"/>
          </w:divBdr>
        </w:div>
        <w:div w:id="347291659">
          <w:marLeft w:val="0"/>
          <w:marRight w:val="0"/>
          <w:marTop w:val="0"/>
          <w:marBottom w:val="0"/>
          <w:divBdr>
            <w:top w:val="none" w:sz="0" w:space="0" w:color="auto"/>
            <w:left w:val="none" w:sz="0" w:space="0" w:color="auto"/>
            <w:bottom w:val="none" w:sz="0" w:space="0" w:color="auto"/>
            <w:right w:val="none" w:sz="0" w:space="0" w:color="auto"/>
          </w:divBdr>
        </w:div>
        <w:div w:id="2146965313">
          <w:marLeft w:val="0"/>
          <w:marRight w:val="0"/>
          <w:marTop w:val="0"/>
          <w:marBottom w:val="0"/>
          <w:divBdr>
            <w:top w:val="none" w:sz="0" w:space="0" w:color="auto"/>
            <w:left w:val="none" w:sz="0" w:space="0" w:color="auto"/>
            <w:bottom w:val="none" w:sz="0" w:space="0" w:color="auto"/>
            <w:right w:val="none" w:sz="0" w:space="0" w:color="auto"/>
          </w:divBdr>
        </w:div>
        <w:div w:id="540556178">
          <w:marLeft w:val="0"/>
          <w:marRight w:val="0"/>
          <w:marTop w:val="0"/>
          <w:marBottom w:val="0"/>
          <w:divBdr>
            <w:top w:val="none" w:sz="0" w:space="0" w:color="auto"/>
            <w:left w:val="none" w:sz="0" w:space="0" w:color="auto"/>
            <w:bottom w:val="none" w:sz="0" w:space="0" w:color="auto"/>
            <w:right w:val="none" w:sz="0" w:space="0" w:color="auto"/>
          </w:divBdr>
        </w:div>
        <w:div w:id="1539127577">
          <w:marLeft w:val="0"/>
          <w:marRight w:val="0"/>
          <w:marTop w:val="0"/>
          <w:marBottom w:val="0"/>
          <w:divBdr>
            <w:top w:val="none" w:sz="0" w:space="0" w:color="auto"/>
            <w:left w:val="none" w:sz="0" w:space="0" w:color="auto"/>
            <w:bottom w:val="none" w:sz="0" w:space="0" w:color="auto"/>
            <w:right w:val="none" w:sz="0" w:space="0" w:color="auto"/>
          </w:divBdr>
        </w:div>
        <w:div w:id="290944801">
          <w:marLeft w:val="0"/>
          <w:marRight w:val="0"/>
          <w:marTop w:val="0"/>
          <w:marBottom w:val="0"/>
          <w:divBdr>
            <w:top w:val="none" w:sz="0" w:space="0" w:color="auto"/>
            <w:left w:val="none" w:sz="0" w:space="0" w:color="auto"/>
            <w:bottom w:val="none" w:sz="0" w:space="0" w:color="auto"/>
            <w:right w:val="none" w:sz="0" w:space="0" w:color="auto"/>
          </w:divBdr>
        </w:div>
        <w:div w:id="1523595437">
          <w:marLeft w:val="0"/>
          <w:marRight w:val="0"/>
          <w:marTop w:val="0"/>
          <w:marBottom w:val="0"/>
          <w:divBdr>
            <w:top w:val="none" w:sz="0" w:space="0" w:color="auto"/>
            <w:left w:val="none" w:sz="0" w:space="0" w:color="auto"/>
            <w:bottom w:val="none" w:sz="0" w:space="0" w:color="auto"/>
            <w:right w:val="none" w:sz="0" w:space="0" w:color="auto"/>
          </w:divBdr>
        </w:div>
        <w:div w:id="1671562222">
          <w:marLeft w:val="0"/>
          <w:marRight w:val="0"/>
          <w:marTop w:val="0"/>
          <w:marBottom w:val="0"/>
          <w:divBdr>
            <w:top w:val="none" w:sz="0" w:space="0" w:color="auto"/>
            <w:left w:val="none" w:sz="0" w:space="0" w:color="auto"/>
            <w:bottom w:val="none" w:sz="0" w:space="0" w:color="auto"/>
            <w:right w:val="none" w:sz="0" w:space="0" w:color="auto"/>
          </w:divBdr>
        </w:div>
        <w:div w:id="1069766212">
          <w:marLeft w:val="0"/>
          <w:marRight w:val="0"/>
          <w:marTop w:val="0"/>
          <w:marBottom w:val="0"/>
          <w:divBdr>
            <w:top w:val="none" w:sz="0" w:space="0" w:color="auto"/>
            <w:left w:val="none" w:sz="0" w:space="0" w:color="auto"/>
            <w:bottom w:val="none" w:sz="0" w:space="0" w:color="auto"/>
            <w:right w:val="none" w:sz="0" w:space="0" w:color="auto"/>
          </w:divBdr>
        </w:div>
        <w:div w:id="100489557">
          <w:marLeft w:val="0"/>
          <w:marRight w:val="0"/>
          <w:marTop w:val="0"/>
          <w:marBottom w:val="0"/>
          <w:divBdr>
            <w:top w:val="none" w:sz="0" w:space="0" w:color="auto"/>
            <w:left w:val="none" w:sz="0" w:space="0" w:color="auto"/>
            <w:bottom w:val="none" w:sz="0" w:space="0" w:color="auto"/>
            <w:right w:val="none" w:sz="0" w:space="0" w:color="auto"/>
          </w:divBdr>
        </w:div>
        <w:div w:id="1040587957">
          <w:marLeft w:val="0"/>
          <w:marRight w:val="0"/>
          <w:marTop w:val="0"/>
          <w:marBottom w:val="0"/>
          <w:divBdr>
            <w:top w:val="none" w:sz="0" w:space="0" w:color="auto"/>
            <w:left w:val="none" w:sz="0" w:space="0" w:color="auto"/>
            <w:bottom w:val="none" w:sz="0" w:space="0" w:color="auto"/>
            <w:right w:val="none" w:sz="0" w:space="0" w:color="auto"/>
          </w:divBdr>
        </w:div>
        <w:div w:id="1445535270">
          <w:marLeft w:val="0"/>
          <w:marRight w:val="0"/>
          <w:marTop w:val="0"/>
          <w:marBottom w:val="0"/>
          <w:divBdr>
            <w:top w:val="none" w:sz="0" w:space="0" w:color="auto"/>
            <w:left w:val="none" w:sz="0" w:space="0" w:color="auto"/>
            <w:bottom w:val="none" w:sz="0" w:space="0" w:color="auto"/>
            <w:right w:val="none" w:sz="0" w:space="0" w:color="auto"/>
          </w:divBdr>
        </w:div>
        <w:div w:id="373848073">
          <w:marLeft w:val="0"/>
          <w:marRight w:val="0"/>
          <w:marTop w:val="0"/>
          <w:marBottom w:val="0"/>
          <w:divBdr>
            <w:top w:val="none" w:sz="0" w:space="0" w:color="auto"/>
            <w:left w:val="none" w:sz="0" w:space="0" w:color="auto"/>
            <w:bottom w:val="none" w:sz="0" w:space="0" w:color="auto"/>
            <w:right w:val="none" w:sz="0" w:space="0" w:color="auto"/>
          </w:divBdr>
        </w:div>
        <w:div w:id="661352687">
          <w:marLeft w:val="0"/>
          <w:marRight w:val="0"/>
          <w:marTop w:val="0"/>
          <w:marBottom w:val="0"/>
          <w:divBdr>
            <w:top w:val="none" w:sz="0" w:space="0" w:color="auto"/>
            <w:left w:val="none" w:sz="0" w:space="0" w:color="auto"/>
            <w:bottom w:val="none" w:sz="0" w:space="0" w:color="auto"/>
            <w:right w:val="none" w:sz="0" w:space="0" w:color="auto"/>
          </w:divBdr>
        </w:div>
        <w:div w:id="453982506">
          <w:marLeft w:val="0"/>
          <w:marRight w:val="0"/>
          <w:marTop w:val="0"/>
          <w:marBottom w:val="0"/>
          <w:divBdr>
            <w:top w:val="none" w:sz="0" w:space="0" w:color="auto"/>
            <w:left w:val="none" w:sz="0" w:space="0" w:color="auto"/>
            <w:bottom w:val="none" w:sz="0" w:space="0" w:color="auto"/>
            <w:right w:val="none" w:sz="0" w:space="0" w:color="auto"/>
          </w:divBdr>
        </w:div>
        <w:div w:id="629819895">
          <w:marLeft w:val="0"/>
          <w:marRight w:val="0"/>
          <w:marTop w:val="0"/>
          <w:marBottom w:val="0"/>
          <w:divBdr>
            <w:top w:val="none" w:sz="0" w:space="0" w:color="auto"/>
            <w:left w:val="none" w:sz="0" w:space="0" w:color="auto"/>
            <w:bottom w:val="none" w:sz="0" w:space="0" w:color="auto"/>
            <w:right w:val="none" w:sz="0" w:space="0" w:color="auto"/>
          </w:divBdr>
        </w:div>
        <w:div w:id="372579242">
          <w:marLeft w:val="0"/>
          <w:marRight w:val="0"/>
          <w:marTop w:val="0"/>
          <w:marBottom w:val="0"/>
          <w:divBdr>
            <w:top w:val="none" w:sz="0" w:space="0" w:color="auto"/>
            <w:left w:val="none" w:sz="0" w:space="0" w:color="auto"/>
            <w:bottom w:val="none" w:sz="0" w:space="0" w:color="auto"/>
            <w:right w:val="none" w:sz="0" w:space="0" w:color="auto"/>
          </w:divBdr>
        </w:div>
        <w:div w:id="1378818471">
          <w:marLeft w:val="0"/>
          <w:marRight w:val="0"/>
          <w:marTop w:val="0"/>
          <w:marBottom w:val="0"/>
          <w:divBdr>
            <w:top w:val="none" w:sz="0" w:space="0" w:color="auto"/>
            <w:left w:val="none" w:sz="0" w:space="0" w:color="auto"/>
            <w:bottom w:val="none" w:sz="0" w:space="0" w:color="auto"/>
            <w:right w:val="none" w:sz="0" w:space="0" w:color="auto"/>
          </w:divBdr>
        </w:div>
        <w:div w:id="956838166">
          <w:marLeft w:val="0"/>
          <w:marRight w:val="0"/>
          <w:marTop w:val="0"/>
          <w:marBottom w:val="0"/>
          <w:divBdr>
            <w:top w:val="none" w:sz="0" w:space="0" w:color="auto"/>
            <w:left w:val="none" w:sz="0" w:space="0" w:color="auto"/>
            <w:bottom w:val="none" w:sz="0" w:space="0" w:color="auto"/>
            <w:right w:val="none" w:sz="0" w:space="0" w:color="auto"/>
          </w:divBdr>
        </w:div>
        <w:div w:id="952438902">
          <w:marLeft w:val="0"/>
          <w:marRight w:val="0"/>
          <w:marTop w:val="0"/>
          <w:marBottom w:val="0"/>
          <w:divBdr>
            <w:top w:val="none" w:sz="0" w:space="0" w:color="auto"/>
            <w:left w:val="none" w:sz="0" w:space="0" w:color="auto"/>
            <w:bottom w:val="none" w:sz="0" w:space="0" w:color="auto"/>
            <w:right w:val="none" w:sz="0" w:space="0" w:color="auto"/>
          </w:divBdr>
        </w:div>
        <w:div w:id="2074353854">
          <w:marLeft w:val="0"/>
          <w:marRight w:val="0"/>
          <w:marTop w:val="0"/>
          <w:marBottom w:val="0"/>
          <w:divBdr>
            <w:top w:val="none" w:sz="0" w:space="0" w:color="auto"/>
            <w:left w:val="none" w:sz="0" w:space="0" w:color="auto"/>
            <w:bottom w:val="none" w:sz="0" w:space="0" w:color="auto"/>
            <w:right w:val="none" w:sz="0" w:space="0" w:color="auto"/>
          </w:divBdr>
        </w:div>
        <w:div w:id="653607353">
          <w:marLeft w:val="0"/>
          <w:marRight w:val="0"/>
          <w:marTop w:val="0"/>
          <w:marBottom w:val="0"/>
          <w:divBdr>
            <w:top w:val="none" w:sz="0" w:space="0" w:color="auto"/>
            <w:left w:val="none" w:sz="0" w:space="0" w:color="auto"/>
            <w:bottom w:val="none" w:sz="0" w:space="0" w:color="auto"/>
            <w:right w:val="none" w:sz="0" w:space="0" w:color="auto"/>
          </w:divBdr>
        </w:div>
        <w:div w:id="68235229">
          <w:marLeft w:val="0"/>
          <w:marRight w:val="0"/>
          <w:marTop w:val="0"/>
          <w:marBottom w:val="0"/>
          <w:divBdr>
            <w:top w:val="none" w:sz="0" w:space="0" w:color="auto"/>
            <w:left w:val="none" w:sz="0" w:space="0" w:color="auto"/>
            <w:bottom w:val="none" w:sz="0" w:space="0" w:color="auto"/>
            <w:right w:val="none" w:sz="0" w:space="0" w:color="auto"/>
          </w:divBdr>
        </w:div>
        <w:div w:id="1452439356">
          <w:marLeft w:val="0"/>
          <w:marRight w:val="0"/>
          <w:marTop w:val="0"/>
          <w:marBottom w:val="0"/>
          <w:divBdr>
            <w:top w:val="none" w:sz="0" w:space="0" w:color="auto"/>
            <w:left w:val="none" w:sz="0" w:space="0" w:color="auto"/>
            <w:bottom w:val="none" w:sz="0" w:space="0" w:color="auto"/>
            <w:right w:val="none" w:sz="0" w:space="0" w:color="auto"/>
          </w:divBdr>
        </w:div>
        <w:div w:id="1892031161">
          <w:marLeft w:val="0"/>
          <w:marRight w:val="0"/>
          <w:marTop w:val="0"/>
          <w:marBottom w:val="0"/>
          <w:divBdr>
            <w:top w:val="none" w:sz="0" w:space="0" w:color="auto"/>
            <w:left w:val="none" w:sz="0" w:space="0" w:color="auto"/>
            <w:bottom w:val="none" w:sz="0" w:space="0" w:color="auto"/>
            <w:right w:val="none" w:sz="0" w:space="0" w:color="auto"/>
          </w:divBdr>
        </w:div>
      </w:divsChild>
    </w:div>
    <w:div w:id="1352416557">
      <w:bodyDiv w:val="1"/>
      <w:marLeft w:val="0"/>
      <w:marRight w:val="0"/>
      <w:marTop w:val="0"/>
      <w:marBottom w:val="0"/>
      <w:divBdr>
        <w:top w:val="none" w:sz="0" w:space="0" w:color="auto"/>
        <w:left w:val="none" w:sz="0" w:space="0" w:color="auto"/>
        <w:bottom w:val="none" w:sz="0" w:space="0" w:color="auto"/>
        <w:right w:val="none" w:sz="0" w:space="0" w:color="auto"/>
      </w:divBdr>
      <w:divsChild>
        <w:div w:id="867641560">
          <w:marLeft w:val="0"/>
          <w:marRight w:val="0"/>
          <w:marTop w:val="0"/>
          <w:marBottom w:val="0"/>
          <w:divBdr>
            <w:top w:val="none" w:sz="0" w:space="0" w:color="auto"/>
            <w:left w:val="none" w:sz="0" w:space="0" w:color="auto"/>
            <w:bottom w:val="none" w:sz="0" w:space="0" w:color="auto"/>
            <w:right w:val="none" w:sz="0" w:space="0" w:color="auto"/>
          </w:divBdr>
        </w:div>
        <w:div w:id="1933388772">
          <w:marLeft w:val="0"/>
          <w:marRight w:val="0"/>
          <w:marTop w:val="0"/>
          <w:marBottom w:val="0"/>
          <w:divBdr>
            <w:top w:val="none" w:sz="0" w:space="0" w:color="auto"/>
            <w:left w:val="none" w:sz="0" w:space="0" w:color="auto"/>
            <w:bottom w:val="none" w:sz="0" w:space="0" w:color="auto"/>
            <w:right w:val="none" w:sz="0" w:space="0" w:color="auto"/>
          </w:divBdr>
        </w:div>
        <w:div w:id="1310482206">
          <w:marLeft w:val="0"/>
          <w:marRight w:val="0"/>
          <w:marTop w:val="0"/>
          <w:marBottom w:val="0"/>
          <w:divBdr>
            <w:top w:val="none" w:sz="0" w:space="0" w:color="auto"/>
            <w:left w:val="none" w:sz="0" w:space="0" w:color="auto"/>
            <w:bottom w:val="none" w:sz="0" w:space="0" w:color="auto"/>
            <w:right w:val="none" w:sz="0" w:space="0" w:color="auto"/>
          </w:divBdr>
        </w:div>
        <w:div w:id="321473792">
          <w:marLeft w:val="0"/>
          <w:marRight w:val="0"/>
          <w:marTop w:val="0"/>
          <w:marBottom w:val="0"/>
          <w:divBdr>
            <w:top w:val="none" w:sz="0" w:space="0" w:color="auto"/>
            <w:left w:val="none" w:sz="0" w:space="0" w:color="auto"/>
            <w:bottom w:val="none" w:sz="0" w:space="0" w:color="auto"/>
            <w:right w:val="none" w:sz="0" w:space="0" w:color="auto"/>
          </w:divBdr>
        </w:div>
        <w:div w:id="333186920">
          <w:marLeft w:val="0"/>
          <w:marRight w:val="0"/>
          <w:marTop w:val="0"/>
          <w:marBottom w:val="0"/>
          <w:divBdr>
            <w:top w:val="none" w:sz="0" w:space="0" w:color="auto"/>
            <w:left w:val="none" w:sz="0" w:space="0" w:color="auto"/>
            <w:bottom w:val="none" w:sz="0" w:space="0" w:color="auto"/>
            <w:right w:val="none" w:sz="0" w:space="0" w:color="auto"/>
          </w:divBdr>
        </w:div>
        <w:div w:id="413207416">
          <w:marLeft w:val="0"/>
          <w:marRight w:val="0"/>
          <w:marTop w:val="0"/>
          <w:marBottom w:val="0"/>
          <w:divBdr>
            <w:top w:val="none" w:sz="0" w:space="0" w:color="auto"/>
            <w:left w:val="none" w:sz="0" w:space="0" w:color="auto"/>
            <w:bottom w:val="none" w:sz="0" w:space="0" w:color="auto"/>
            <w:right w:val="none" w:sz="0" w:space="0" w:color="auto"/>
          </w:divBdr>
        </w:div>
        <w:div w:id="13046506">
          <w:marLeft w:val="0"/>
          <w:marRight w:val="0"/>
          <w:marTop w:val="0"/>
          <w:marBottom w:val="0"/>
          <w:divBdr>
            <w:top w:val="none" w:sz="0" w:space="0" w:color="auto"/>
            <w:left w:val="none" w:sz="0" w:space="0" w:color="auto"/>
            <w:bottom w:val="none" w:sz="0" w:space="0" w:color="auto"/>
            <w:right w:val="none" w:sz="0" w:space="0" w:color="auto"/>
          </w:divBdr>
        </w:div>
        <w:div w:id="385378823">
          <w:marLeft w:val="0"/>
          <w:marRight w:val="0"/>
          <w:marTop w:val="0"/>
          <w:marBottom w:val="0"/>
          <w:divBdr>
            <w:top w:val="none" w:sz="0" w:space="0" w:color="auto"/>
            <w:left w:val="none" w:sz="0" w:space="0" w:color="auto"/>
            <w:bottom w:val="none" w:sz="0" w:space="0" w:color="auto"/>
            <w:right w:val="none" w:sz="0" w:space="0" w:color="auto"/>
          </w:divBdr>
        </w:div>
        <w:div w:id="604581482">
          <w:marLeft w:val="0"/>
          <w:marRight w:val="0"/>
          <w:marTop w:val="0"/>
          <w:marBottom w:val="0"/>
          <w:divBdr>
            <w:top w:val="none" w:sz="0" w:space="0" w:color="auto"/>
            <w:left w:val="none" w:sz="0" w:space="0" w:color="auto"/>
            <w:bottom w:val="none" w:sz="0" w:space="0" w:color="auto"/>
            <w:right w:val="none" w:sz="0" w:space="0" w:color="auto"/>
          </w:divBdr>
        </w:div>
        <w:div w:id="577327595">
          <w:marLeft w:val="0"/>
          <w:marRight w:val="0"/>
          <w:marTop w:val="0"/>
          <w:marBottom w:val="0"/>
          <w:divBdr>
            <w:top w:val="none" w:sz="0" w:space="0" w:color="auto"/>
            <w:left w:val="none" w:sz="0" w:space="0" w:color="auto"/>
            <w:bottom w:val="none" w:sz="0" w:space="0" w:color="auto"/>
            <w:right w:val="none" w:sz="0" w:space="0" w:color="auto"/>
          </w:divBdr>
        </w:div>
        <w:div w:id="909652009">
          <w:marLeft w:val="0"/>
          <w:marRight w:val="0"/>
          <w:marTop w:val="0"/>
          <w:marBottom w:val="0"/>
          <w:divBdr>
            <w:top w:val="none" w:sz="0" w:space="0" w:color="auto"/>
            <w:left w:val="none" w:sz="0" w:space="0" w:color="auto"/>
            <w:bottom w:val="none" w:sz="0" w:space="0" w:color="auto"/>
            <w:right w:val="none" w:sz="0" w:space="0" w:color="auto"/>
          </w:divBdr>
        </w:div>
        <w:div w:id="459152457">
          <w:marLeft w:val="0"/>
          <w:marRight w:val="0"/>
          <w:marTop w:val="0"/>
          <w:marBottom w:val="0"/>
          <w:divBdr>
            <w:top w:val="none" w:sz="0" w:space="0" w:color="auto"/>
            <w:left w:val="none" w:sz="0" w:space="0" w:color="auto"/>
            <w:bottom w:val="none" w:sz="0" w:space="0" w:color="auto"/>
            <w:right w:val="none" w:sz="0" w:space="0" w:color="auto"/>
          </w:divBdr>
        </w:div>
        <w:div w:id="863203752">
          <w:marLeft w:val="0"/>
          <w:marRight w:val="0"/>
          <w:marTop w:val="0"/>
          <w:marBottom w:val="0"/>
          <w:divBdr>
            <w:top w:val="none" w:sz="0" w:space="0" w:color="auto"/>
            <w:left w:val="none" w:sz="0" w:space="0" w:color="auto"/>
            <w:bottom w:val="none" w:sz="0" w:space="0" w:color="auto"/>
            <w:right w:val="none" w:sz="0" w:space="0" w:color="auto"/>
          </w:divBdr>
        </w:div>
        <w:div w:id="1682122139">
          <w:marLeft w:val="0"/>
          <w:marRight w:val="0"/>
          <w:marTop w:val="0"/>
          <w:marBottom w:val="0"/>
          <w:divBdr>
            <w:top w:val="none" w:sz="0" w:space="0" w:color="auto"/>
            <w:left w:val="none" w:sz="0" w:space="0" w:color="auto"/>
            <w:bottom w:val="none" w:sz="0" w:space="0" w:color="auto"/>
            <w:right w:val="none" w:sz="0" w:space="0" w:color="auto"/>
          </w:divBdr>
        </w:div>
        <w:div w:id="1119957120">
          <w:marLeft w:val="0"/>
          <w:marRight w:val="0"/>
          <w:marTop w:val="0"/>
          <w:marBottom w:val="0"/>
          <w:divBdr>
            <w:top w:val="none" w:sz="0" w:space="0" w:color="auto"/>
            <w:left w:val="none" w:sz="0" w:space="0" w:color="auto"/>
            <w:bottom w:val="none" w:sz="0" w:space="0" w:color="auto"/>
            <w:right w:val="none" w:sz="0" w:space="0" w:color="auto"/>
          </w:divBdr>
        </w:div>
        <w:div w:id="1095369925">
          <w:marLeft w:val="0"/>
          <w:marRight w:val="0"/>
          <w:marTop w:val="0"/>
          <w:marBottom w:val="0"/>
          <w:divBdr>
            <w:top w:val="none" w:sz="0" w:space="0" w:color="auto"/>
            <w:left w:val="none" w:sz="0" w:space="0" w:color="auto"/>
            <w:bottom w:val="none" w:sz="0" w:space="0" w:color="auto"/>
            <w:right w:val="none" w:sz="0" w:space="0" w:color="auto"/>
          </w:divBdr>
        </w:div>
        <w:div w:id="2087263758">
          <w:marLeft w:val="0"/>
          <w:marRight w:val="0"/>
          <w:marTop w:val="0"/>
          <w:marBottom w:val="0"/>
          <w:divBdr>
            <w:top w:val="none" w:sz="0" w:space="0" w:color="auto"/>
            <w:left w:val="none" w:sz="0" w:space="0" w:color="auto"/>
            <w:bottom w:val="none" w:sz="0" w:space="0" w:color="auto"/>
            <w:right w:val="none" w:sz="0" w:space="0" w:color="auto"/>
          </w:divBdr>
        </w:div>
        <w:div w:id="491719419">
          <w:marLeft w:val="0"/>
          <w:marRight w:val="0"/>
          <w:marTop w:val="0"/>
          <w:marBottom w:val="0"/>
          <w:divBdr>
            <w:top w:val="none" w:sz="0" w:space="0" w:color="auto"/>
            <w:left w:val="none" w:sz="0" w:space="0" w:color="auto"/>
            <w:bottom w:val="none" w:sz="0" w:space="0" w:color="auto"/>
            <w:right w:val="none" w:sz="0" w:space="0" w:color="auto"/>
          </w:divBdr>
        </w:div>
        <w:div w:id="950434116">
          <w:marLeft w:val="0"/>
          <w:marRight w:val="0"/>
          <w:marTop w:val="0"/>
          <w:marBottom w:val="0"/>
          <w:divBdr>
            <w:top w:val="none" w:sz="0" w:space="0" w:color="auto"/>
            <w:left w:val="none" w:sz="0" w:space="0" w:color="auto"/>
            <w:bottom w:val="none" w:sz="0" w:space="0" w:color="auto"/>
            <w:right w:val="none" w:sz="0" w:space="0" w:color="auto"/>
          </w:divBdr>
        </w:div>
        <w:div w:id="1417747650">
          <w:marLeft w:val="0"/>
          <w:marRight w:val="0"/>
          <w:marTop w:val="0"/>
          <w:marBottom w:val="0"/>
          <w:divBdr>
            <w:top w:val="none" w:sz="0" w:space="0" w:color="auto"/>
            <w:left w:val="none" w:sz="0" w:space="0" w:color="auto"/>
            <w:bottom w:val="none" w:sz="0" w:space="0" w:color="auto"/>
            <w:right w:val="none" w:sz="0" w:space="0" w:color="auto"/>
          </w:divBdr>
        </w:div>
        <w:div w:id="1111515679">
          <w:marLeft w:val="0"/>
          <w:marRight w:val="0"/>
          <w:marTop w:val="0"/>
          <w:marBottom w:val="0"/>
          <w:divBdr>
            <w:top w:val="none" w:sz="0" w:space="0" w:color="auto"/>
            <w:left w:val="none" w:sz="0" w:space="0" w:color="auto"/>
            <w:bottom w:val="none" w:sz="0" w:space="0" w:color="auto"/>
            <w:right w:val="none" w:sz="0" w:space="0" w:color="auto"/>
          </w:divBdr>
        </w:div>
        <w:div w:id="1368792834">
          <w:marLeft w:val="0"/>
          <w:marRight w:val="0"/>
          <w:marTop w:val="0"/>
          <w:marBottom w:val="0"/>
          <w:divBdr>
            <w:top w:val="none" w:sz="0" w:space="0" w:color="auto"/>
            <w:left w:val="none" w:sz="0" w:space="0" w:color="auto"/>
            <w:bottom w:val="none" w:sz="0" w:space="0" w:color="auto"/>
            <w:right w:val="none" w:sz="0" w:space="0" w:color="auto"/>
          </w:divBdr>
        </w:div>
        <w:div w:id="287010387">
          <w:marLeft w:val="0"/>
          <w:marRight w:val="0"/>
          <w:marTop w:val="0"/>
          <w:marBottom w:val="0"/>
          <w:divBdr>
            <w:top w:val="none" w:sz="0" w:space="0" w:color="auto"/>
            <w:left w:val="none" w:sz="0" w:space="0" w:color="auto"/>
            <w:bottom w:val="none" w:sz="0" w:space="0" w:color="auto"/>
            <w:right w:val="none" w:sz="0" w:space="0" w:color="auto"/>
          </w:divBdr>
        </w:div>
        <w:div w:id="366612511">
          <w:marLeft w:val="0"/>
          <w:marRight w:val="0"/>
          <w:marTop w:val="0"/>
          <w:marBottom w:val="0"/>
          <w:divBdr>
            <w:top w:val="none" w:sz="0" w:space="0" w:color="auto"/>
            <w:left w:val="none" w:sz="0" w:space="0" w:color="auto"/>
            <w:bottom w:val="none" w:sz="0" w:space="0" w:color="auto"/>
            <w:right w:val="none" w:sz="0" w:space="0" w:color="auto"/>
          </w:divBdr>
        </w:div>
        <w:div w:id="137383408">
          <w:marLeft w:val="0"/>
          <w:marRight w:val="0"/>
          <w:marTop w:val="0"/>
          <w:marBottom w:val="0"/>
          <w:divBdr>
            <w:top w:val="none" w:sz="0" w:space="0" w:color="auto"/>
            <w:left w:val="none" w:sz="0" w:space="0" w:color="auto"/>
            <w:bottom w:val="none" w:sz="0" w:space="0" w:color="auto"/>
            <w:right w:val="none" w:sz="0" w:space="0" w:color="auto"/>
          </w:divBdr>
        </w:div>
        <w:div w:id="2119178984">
          <w:marLeft w:val="0"/>
          <w:marRight w:val="0"/>
          <w:marTop w:val="0"/>
          <w:marBottom w:val="0"/>
          <w:divBdr>
            <w:top w:val="none" w:sz="0" w:space="0" w:color="auto"/>
            <w:left w:val="none" w:sz="0" w:space="0" w:color="auto"/>
            <w:bottom w:val="none" w:sz="0" w:space="0" w:color="auto"/>
            <w:right w:val="none" w:sz="0" w:space="0" w:color="auto"/>
          </w:divBdr>
        </w:div>
        <w:div w:id="1410344068">
          <w:marLeft w:val="0"/>
          <w:marRight w:val="0"/>
          <w:marTop w:val="0"/>
          <w:marBottom w:val="0"/>
          <w:divBdr>
            <w:top w:val="none" w:sz="0" w:space="0" w:color="auto"/>
            <w:left w:val="none" w:sz="0" w:space="0" w:color="auto"/>
            <w:bottom w:val="none" w:sz="0" w:space="0" w:color="auto"/>
            <w:right w:val="none" w:sz="0" w:space="0" w:color="auto"/>
          </w:divBdr>
        </w:div>
        <w:div w:id="2136828938">
          <w:marLeft w:val="0"/>
          <w:marRight w:val="0"/>
          <w:marTop w:val="0"/>
          <w:marBottom w:val="0"/>
          <w:divBdr>
            <w:top w:val="none" w:sz="0" w:space="0" w:color="auto"/>
            <w:left w:val="none" w:sz="0" w:space="0" w:color="auto"/>
            <w:bottom w:val="none" w:sz="0" w:space="0" w:color="auto"/>
            <w:right w:val="none" w:sz="0" w:space="0" w:color="auto"/>
          </w:divBdr>
        </w:div>
        <w:div w:id="1733768600">
          <w:marLeft w:val="0"/>
          <w:marRight w:val="0"/>
          <w:marTop w:val="0"/>
          <w:marBottom w:val="0"/>
          <w:divBdr>
            <w:top w:val="none" w:sz="0" w:space="0" w:color="auto"/>
            <w:left w:val="none" w:sz="0" w:space="0" w:color="auto"/>
            <w:bottom w:val="none" w:sz="0" w:space="0" w:color="auto"/>
            <w:right w:val="none" w:sz="0" w:space="0" w:color="auto"/>
          </w:divBdr>
        </w:div>
        <w:div w:id="760490244">
          <w:marLeft w:val="0"/>
          <w:marRight w:val="0"/>
          <w:marTop w:val="0"/>
          <w:marBottom w:val="0"/>
          <w:divBdr>
            <w:top w:val="none" w:sz="0" w:space="0" w:color="auto"/>
            <w:left w:val="none" w:sz="0" w:space="0" w:color="auto"/>
            <w:bottom w:val="none" w:sz="0" w:space="0" w:color="auto"/>
            <w:right w:val="none" w:sz="0" w:space="0" w:color="auto"/>
          </w:divBdr>
        </w:div>
        <w:div w:id="382798744">
          <w:marLeft w:val="0"/>
          <w:marRight w:val="0"/>
          <w:marTop w:val="0"/>
          <w:marBottom w:val="0"/>
          <w:divBdr>
            <w:top w:val="none" w:sz="0" w:space="0" w:color="auto"/>
            <w:left w:val="none" w:sz="0" w:space="0" w:color="auto"/>
            <w:bottom w:val="none" w:sz="0" w:space="0" w:color="auto"/>
            <w:right w:val="none" w:sz="0" w:space="0" w:color="auto"/>
          </w:divBdr>
        </w:div>
        <w:div w:id="1313412993">
          <w:marLeft w:val="0"/>
          <w:marRight w:val="0"/>
          <w:marTop w:val="0"/>
          <w:marBottom w:val="0"/>
          <w:divBdr>
            <w:top w:val="none" w:sz="0" w:space="0" w:color="auto"/>
            <w:left w:val="none" w:sz="0" w:space="0" w:color="auto"/>
            <w:bottom w:val="none" w:sz="0" w:space="0" w:color="auto"/>
            <w:right w:val="none" w:sz="0" w:space="0" w:color="auto"/>
          </w:divBdr>
        </w:div>
      </w:divsChild>
    </w:div>
    <w:div w:id="1536885115">
      <w:bodyDiv w:val="1"/>
      <w:marLeft w:val="0"/>
      <w:marRight w:val="0"/>
      <w:marTop w:val="0"/>
      <w:marBottom w:val="0"/>
      <w:divBdr>
        <w:top w:val="none" w:sz="0" w:space="0" w:color="auto"/>
        <w:left w:val="none" w:sz="0" w:space="0" w:color="auto"/>
        <w:bottom w:val="none" w:sz="0" w:space="0" w:color="auto"/>
        <w:right w:val="none" w:sz="0" w:space="0" w:color="auto"/>
      </w:divBdr>
      <w:divsChild>
        <w:div w:id="1355427281">
          <w:marLeft w:val="0"/>
          <w:marRight w:val="0"/>
          <w:marTop w:val="0"/>
          <w:marBottom w:val="0"/>
          <w:divBdr>
            <w:top w:val="none" w:sz="0" w:space="0" w:color="auto"/>
            <w:left w:val="none" w:sz="0" w:space="0" w:color="auto"/>
            <w:bottom w:val="none" w:sz="0" w:space="0" w:color="auto"/>
            <w:right w:val="none" w:sz="0" w:space="0" w:color="auto"/>
          </w:divBdr>
        </w:div>
        <w:div w:id="887765472">
          <w:marLeft w:val="0"/>
          <w:marRight w:val="0"/>
          <w:marTop w:val="0"/>
          <w:marBottom w:val="0"/>
          <w:divBdr>
            <w:top w:val="none" w:sz="0" w:space="0" w:color="auto"/>
            <w:left w:val="none" w:sz="0" w:space="0" w:color="auto"/>
            <w:bottom w:val="none" w:sz="0" w:space="0" w:color="auto"/>
            <w:right w:val="none" w:sz="0" w:space="0" w:color="auto"/>
          </w:divBdr>
        </w:div>
        <w:div w:id="1315336525">
          <w:marLeft w:val="0"/>
          <w:marRight w:val="0"/>
          <w:marTop w:val="0"/>
          <w:marBottom w:val="0"/>
          <w:divBdr>
            <w:top w:val="none" w:sz="0" w:space="0" w:color="auto"/>
            <w:left w:val="none" w:sz="0" w:space="0" w:color="auto"/>
            <w:bottom w:val="none" w:sz="0" w:space="0" w:color="auto"/>
            <w:right w:val="none" w:sz="0" w:space="0" w:color="auto"/>
          </w:divBdr>
        </w:div>
        <w:div w:id="1371882034">
          <w:marLeft w:val="0"/>
          <w:marRight w:val="0"/>
          <w:marTop w:val="0"/>
          <w:marBottom w:val="0"/>
          <w:divBdr>
            <w:top w:val="none" w:sz="0" w:space="0" w:color="auto"/>
            <w:left w:val="none" w:sz="0" w:space="0" w:color="auto"/>
            <w:bottom w:val="none" w:sz="0" w:space="0" w:color="auto"/>
            <w:right w:val="none" w:sz="0" w:space="0" w:color="auto"/>
          </w:divBdr>
        </w:div>
        <w:div w:id="456871709">
          <w:marLeft w:val="0"/>
          <w:marRight w:val="0"/>
          <w:marTop w:val="0"/>
          <w:marBottom w:val="0"/>
          <w:divBdr>
            <w:top w:val="none" w:sz="0" w:space="0" w:color="auto"/>
            <w:left w:val="none" w:sz="0" w:space="0" w:color="auto"/>
            <w:bottom w:val="none" w:sz="0" w:space="0" w:color="auto"/>
            <w:right w:val="none" w:sz="0" w:space="0" w:color="auto"/>
          </w:divBdr>
        </w:div>
        <w:div w:id="571620708">
          <w:marLeft w:val="0"/>
          <w:marRight w:val="0"/>
          <w:marTop w:val="0"/>
          <w:marBottom w:val="0"/>
          <w:divBdr>
            <w:top w:val="none" w:sz="0" w:space="0" w:color="auto"/>
            <w:left w:val="none" w:sz="0" w:space="0" w:color="auto"/>
            <w:bottom w:val="none" w:sz="0" w:space="0" w:color="auto"/>
            <w:right w:val="none" w:sz="0" w:space="0" w:color="auto"/>
          </w:divBdr>
        </w:div>
        <w:div w:id="1245840157">
          <w:marLeft w:val="0"/>
          <w:marRight w:val="0"/>
          <w:marTop w:val="0"/>
          <w:marBottom w:val="0"/>
          <w:divBdr>
            <w:top w:val="none" w:sz="0" w:space="0" w:color="auto"/>
            <w:left w:val="none" w:sz="0" w:space="0" w:color="auto"/>
            <w:bottom w:val="none" w:sz="0" w:space="0" w:color="auto"/>
            <w:right w:val="none" w:sz="0" w:space="0" w:color="auto"/>
          </w:divBdr>
        </w:div>
        <w:div w:id="1785881427">
          <w:marLeft w:val="0"/>
          <w:marRight w:val="0"/>
          <w:marTop w:val="0"/>
          <w:marBottom w:val="0"/>
          <w:divBdr>
            <w:top w:val="none" w:sz="0" w:space="0" w:color="auto"/>
            <w:left w:val="none" w:sz="0" w:space="0" w:color="auto"/>
            <w:bottom w:val="none" w:sz="0" w:space="0" w:color="auto"/>
            <w:right w:val="none" w:sz="0" w:space="0" w:color="auto"/>
          </w:divBdr>
        </w:div>
        <w:div w:id="2042241745">
          <w:marLeft w:val="0"/>
          <w:marRight w:val="0"/>
          <w:marTop w:val="0"/>
          <w:marBottom w:val="0"/>
          <w:divBdr>
            <w:top w:val="none" w:sz="0" w:space="0" w:color="auto"/>
            <w:left w:val="none" w:sz="0" w:space="0" w:color="auto"/>
            <w:bottom w:val="none" w:sz="0" w:space="0" w:color="auto"/>
            <w:right w:val="none" w:sz="0" w:space="0" w:color="auto"/>
          </w:divBdr>
        </w:div>
        <w:div w:id="1171094863">
          <w:marLeft w:val="0"/>
          <w:marRight w:val="0"/>
          <w:marTop w:val="0"/>
          <w:marBottom w:val="0"/>
          <w:divBdr>
            <w:top w:val="none" w:sz="0" w:space="0" w:color="auto"/>
            <w:left w:val="none" w:sz="0" w:space="0" w:color="auto"/>
            <w:bottom w:val="none" w:sz="0" w:space="0" w:color="auto"/>
            <w:right w:val="none" w:sz="0" w:space="0" w:color="auto"/>
          </w:divBdr>
        </w:div>
      </w:divsChild>
    </w:div>
    <w:div w:id="2092192142">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2">
          <w:marLeft w:val="0"/>
          <w:marRight w:val="0"/>
          <w:marTop w:val="0"/>
          <w:marBottom w:val="0"/>
          <w:divBdr>
            <w:top w:val="none" w:sz="0" w:space="0" w:color="auto"/>
            <w:left w:val="none" w:sz="0" w:space="0" w:color="auto"/>
            <w:bottom w:val="none" w:sz="0" w:space="0" w:color="auto"/>
            <w:right w:val="none" w:sz="0" w:space="0" w:color="auto"/>
          </w:divBdr>
        </w:div>
        <w:div w:id="105200762">
          <w:marLeft w:val="0"/>
          <w:marRight w:val="0"/>
          <w:marTop w:val="0"/>
          <w:marBottom w:val="0"/>
          <w:divBdr>
            <w:top w:val="none" w:sz="0" w:space="0" w:color="auto"/>
            <w:left w:val="none" w:sz="0" w:space="0" w:color="auto"/>
            <w:bottom w:val="none" w:sz="0" w:space="0" w:color="auto"/>
            <w:right w:val="none" w:sz="0" w:space="0" w:color="auto"/>
          </w:divBdr>
        </w:div>
        <w:div w:id="699817670">
          <w:marLeft w:val="0"/>
          <w:marRight w:val="0"/>
          <w:marTop w:val="0"/>
          <w:marBottom w:val="0"/>
          <w:divBdr>
            <w:top w:val="none" w:sz="0" w:space="0" w:color="auto"/>
            <w:left w:val="none" w:sz="0" w:space="0" w:color="auto"/>
            <w:bottom w:val="none" w:sz="0" w:space="0" w:color="auto"/>
            <w:right w:val="none" w:sz="0" w:space="0" w:color="auto"/>
          </w:divBdr>
        </w:div>
        <w:div w:id="65734551">
          <w:marLeft w:val="0"/>
          <w:marRight w:val="0"/>
          <w:marTop w:val="0"/>
          <w:marBottom w:val="0"/>
          <w:divBdr>
            <w:top w:val="none" w:sz="0" w:space="0" w:color="auto"/>
            <w:left w:val="none" w:sz="0" w:space="0" w:color="auto"/>
            <w:bottom w:val="none" w:sz="0" w:space="0" w:color="auto"/>
            <w:right w:val="none" w:sz="0" w:space="0" w:color="auto"/>
          </w:divBdr>
        </w:div>
        <w:div w:id="601491926">
          <w:marLeft w:val="0"/>
          <w:marRight w:val="0"/>
          <w:marTop w:val="0"/>
          <w:marBottom w:val="0"/>
          <w:divBdr>
            <w:top w:val="none" w:sz="0" w:space="0" w:color="auto"/>
            <w:left w:val="none" w:sz="0" w:space="0" w:color="auto"/>
            <w:bottom w:val="none" w:sz="0" w:space="0" w:color="auto"/>
            <w:right w:val="none" w:sz="0" w:space="0" w:color="auto"/>
          </w:divBdr>
        </w:div>
        <w:div w:id="1750418091">
          <w:marLeft w:val="0"/>
          <w:marRight w:val="0"/>
          <w:marTop w:val="0"/>
          <w:marBottom w:val="0"/>
          <w:divBdr>
            <w:top w:val="none" w:sz="0" w:space="0" w:color="auto"/>
            <w:left w:val="none" w:sz="0" w:space="0" w:color="auto"/>
            <w:bottom w:val="none" w:sz="0" w:space="0" w:color="auto"/>
            <w:right w:val="none" w:sz="0" w:space="0" w:color="auto"/>
          </w:divBdr>
        </w:div>
        <w:div w:id="754059584">
          <w:marLeft w:val="0"/>
          <w:marRight w:val="0"/>
          <w:marTop w:val="0"/>
          <w:marBottom w:val="0"/>
          <w:divBdr>
            <w:top w:val="none" w:sz="0" w:space="0" w:color="auto"/>
            <w:left w:val="none" w:sz="0" w:space="0" w:color="auto"/>
            <w:bottom w:val="none" w:sz="0" w:space="0" w:color="auto"/>
            <w:right w:val="none" w:sz="0" w:space="0" w:color="auto"/>
          </w:divBdr>
        </w:div>
        <w:div w:id="1745103811">
          <w:marLeft w:val="0"/>
          <w:marRight w:val="0"/>
          <w:marTop w:val="0"/>
          <w:marBottom w:val="0"/>
          <w:divBdr>
            <w:top w:val="none" w:sz="0" w:space="0" w:color="auto"/>
            <w:left w:val="none" w:sz="0" w:space="0" w:color="auto"/>
            <w:bottom w:val="none" w:sz="0" w:space="0" w:color="auto"/>
            <w:right w:val="none" w:sz="0" w:space="0" w:color="auto"/>
          </w:divBdr>
        </w:div>
        <w:div w:id="2044206306">
          <w:marLeft w:val="0"/>
          <w:marRight w:val="0"/>
          <w:marTop w:val="0"/>
          <w:marBottom w:val="0"/>
          <w:divBdr>
            <w:top w:val="none" w:sz="0" w:space="0" w:color="auto"/>
            <w:left w:val="none" w:sz="0" w:space="0" w:color="auto"/>
            <w:bottom w:val="none" w:sz="0" w:space="0" w:color="auto"/>
            <w:right w:val="none" w:sz="0" w:space="0" w:color="auto"/>
          </w:divBdr>
        </w:div>
        <w:div w:id="546260238">
          <w:marLeft w:val="0"/>
          <w:marRight w:val="0"/>
          <w:marTop w:val="0"/>
          <w:marBottom w:val="0"/>
          <w:divBdr>
            <w:top w:val="none" w:sz="0" w:space="0" w:color="auto"/>
            <w:left w:val="none" w:sz="0" w:space="0" w:color="auto"/>
            <w:bottom w:val="none" w:sz="0" w:space="0" w:color="auto"/>
            <w:right w:val="none" w:sz="0" w:space="0" w:color="auto"/>
          </w:divBdr>
        </w:div>
        <w:div w:id="1398741836">
          <w:marLeft w:val="0"/>
          <w:marRight w:val="0"/>
          <w:marTop w:val="0"/>
          <w:marBottom w:val="0"/>
          <w:divBdr>
            <w:top w:val="none" w:sz="0" w:space="0" w:color="auto"/>
            <w:left w:val="none" w:sz="0" w:space="0" w:color="auto"/>
            <w:bottom w:val="none" w:sz="0" w:space="0" w:color="auto"/>
            <w:right w:val="none" w:sz="0" w:space="0" w:color="auto"/>
          </w:divBdr>
        </w:div>
        <w:div w:id="1169756741">
          <w:marLeft w:val="0"/>
          <w:marRight w:val="0"/>
          <w:marTop w:val="0"/>
          <w:marBottom w:val="0"/>
          <w:divBdr>
            <w:top w:val="none" w:sz="0" w:space="0" w:color="auto"/>
            <w:left w:val="none" w:sz="0" w:space="0" w:color="auto"/>
            <w:bottom w:val="none" w:sz="0" w:space="0" w:color="auto"/>
            <w:right w:val="none" w:sz="0" w:space="0" w:color="auto"/>
          </w:divBdr>
        </w:div>
        <w:div w:id="1799296318">
          <w:marLeft w:val="0"/>
          <w:marRight w:val="0"/>
          <w:marTop w:val="0"/>
          <w:marBottom w:val="0"/>
          <w:divBdr>
            <w:top w:val="none" w:sz="0" w:space="0" w:color="auto"/>
            <w:left w:val="none" w:sz="0" w:space="0" w:color="auto"/>
            <w:bottom w:val="none" w:sz="0" w:space="0" w:color="auto"/>
            <w:right w:val="none" w:sz="0" w:space="0" w:color="auto"/>
          </w:divBdr>
        </w:div>
        <w:div w:id="2118255043">
          <w:marLeft w:val="0"/>
          <w:marRight w:val="0"/>
          <w:marTop w:val="0"/>
          <w:marBottom w:val="0"/>
          <w:divBdr>
            <w:top w:val="none" w:sz="0" w:space="0" w:color="auto"/>
            <w:left w:val="none" w:sz="0" w:space="0" w:color="auto"/>
            <w:bottom w:val="none" w:sz="0" w:space="0" w:color="auto"/>
            <w:right w:val="none" w:sz="0" w:space="0" w:color="auto"/>
          </w:divBdr>
        </w:div>
        <w:div w:id="514223168">
          <w:marLeft w:val="0"/>
          <w:marRight w:val="0"/>
          <w:marTop w:val="0"/>
          <w:marBottom w:val="0"/>
          <w:divBdr>
            <w:top w:val="none" w:sz="0" w:space="0" w:color="auto"/>
            <w:left w:val="none" w:sz="0" w:space="0" w:color="auto"/>
            <w:bottom w:val="none" w:sz="0" w:space="0" w:color="auto"/>
            <w:right w:val="none" w:sz="0" w:space="0" w:color="auto"/>
          </w:divBdr>
        </w:div>
        <w:div w:id="1863930661">
          <w:marLeft w:val="0"/>
          <w:marRight w:val="0"/>
          <w:marTop w:val="0"/>
          <w:marBottom w:val="0"/>
          <w:divBdr>
            <w:top w:val="none" w:sz="0" w:space="0" w:color="auto"/>
            <w:left w:val="none" w:sz="0" w:space="0" w:color="auto"/>
            <w:bottom w:val="none" w:sz="0" w:space="0" w:color="auto"/>
            <w:right w:val="none" w:sz="0" w:space="0" w:color="auto"/>
          </w:divBdr>
        </w:div>
        <w:div w:id="1090731742">
          <w:marLeft w:val="0"/>
          <w:marRight w:val="0"/>
          <w:marTop w:val="0"/>
          <w:marBottom w:val="0"/>
          <w:divBdr>
            <w:top w:val="none" w:sz="0" w:space="0" w:color="auto"/>
            <w:left w:val="none" w:sz="0" w:space="0" w:color="auto"/>
            <w:bottom w:val="none" w:sz="0" w:space="0" w:color="auto"/>
            <w:right w:val="none" w:sz="0" w:space="0" w:color="auto"/>
          </w:divBdr>
        </w:div>
        <w:div w:id="1564869050">
          <w:marLeft w:val="0"/>
          <w:marRight w:val="0"/>
          <w:marTop w:val="0"/>
          <w:marBottom w:val="0"/>
          <w:divBdr>
            <w:top w:val="none" w:sz="0" w:space="0" w:color="auto"/>
            <w:left w:val="none" w:sz="0" w:space="0" w:color="auto"/>
            <w:bottom w:val="none" w:sz="0" w:space="0" w:color="auto"/>
            <w:right w:val="none" w:sz="0" w:space="0" w:color="auto"/>
          </w:divBdr>
        </w:div>
        <w:div w:id="1073553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9D9F6-2E17-4B3C-8C0B-CD3E79D405F4}">
  <ds:schemaRefs>
    <ds:schemaRef ds:uri="http://schemas.openxmlformats.org/officeDocument/2006/bibliography"/>
  </ds:schemaRefs>
</ds:datastoreItem>
</file>

<file path=customXml/itemProps2.xml><?xml version="1.0" encoding="utf-8"?>
<ds:datastoreItem xmlns:ds="http://schemas.openxmlformats.org/officeDocument/2006/customXml" ds:itemID="{DA730908-EA5E-4D54-9D93-36133473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4638</Words>
  <Characters>27828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Ciorgoń</dc:creator>
  <cp:lastModifiedBy>Aneta Piwnicka-Ponieważ</cp:lastModifiedBy>
  <cp:revision>3</cp:revision>
  <cp:lastPrinted>2020-11-27T06:58:00Z</cp:lastPrinted>
  <dcterms:created xsi:type="dcterms:W3CDTF">2023-07-11T08:23:00Z</dcterms:created>
  <dcterms:modified xsi:type="dcterms:W3CDTF">2023-07-14T13:14:00Z</dcterms:modified>
</cp:coreProperties>
</file>